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95A52" w14:textId="77777777" w:rsidR="00B36517" w:rsidRPr="007C2F5F" w:rsidRDefault="00B36517">
      <w:pPr>
        <w:pStyle w:val="Header"/>
        <w:rPr>
          <w:rFonts w:ascii="Calibri" w:hAnsi="Calibri"/>
          <w:b/>
        </w:rPr>
      </w:pPr>
    </w:p>
    <w:p w14:paraId="125AE165" w14:textId="77777777" w:rsidR="00B36517" w:rsidRPr="007C2F5F" w:rsidRDefault="00B36517">
      <w:pPr>
        <w:pStyle w:val="Heade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7"/>
      </w:tblGrid>
      <w:tr w:rsidR="00B36517" w14:paraId="4E595F94" w14:textId="77777777" w:rsidTr="005F5B8B">
        <w:trPr>
          <w:trHeight w:val="511"/>
        </w:trPr>
        <w:tc>
          <w:tcPr>
            <w:tcW w:w="4927" w:type="dxa"/>
          </w:tcPr>
          <w:p w14:paraId="43859EDB" w14:textId="77777777" w:rsidR="00B36517" w:rsidRPr="005F5B8B" w:rsidRDefault="00B36517" w:rsidP="005907E8">
            <w:pPr>
              <w:pStyle w:val="Header"/>
              <w:rPr>
                <w:rFonts w:ascii="Calibri" w:hAnsi="Calibri"/>
                <w:b/>
                <w:sz w:val="36"/>
                <w:szCs w:val="36"/>
              </w:rPr>
            </w:pPr>
            <w:r w:rsidRPr="005F5B8B">
              <w:rPr>
                <w:rFonts w:ascii="Calibri" w:hAnsi="Calibri"/>
                <w:b/>
                <w:sz w:val="36"/>
                <w:szCs w:val="36"/>
              </w:rPr>
              <w:t>Employer</w:t>
            </w:r>
          </w:p>
        </w:tc>
        <w:tc>
          <w:tcPr>
            <w:tcW w:w="4927" w:type="dxa"/>
          </w:tcPr>
          <w:p w14:paraId="782C161D" w14:textId="77777777" w:rsidR="00B36517" w:rsidRPr="005F5B8B" w:rsidRDefault="00C3787B" w:rsidP="0099221D">
            <w:pPr>
              <w:pStyle w:val="Header"/>
              <w:rPr>
                <w:rFonts w:ascii="Calibri" w:hAnsi="Calibri"/>
                <w:sz w:val="36"/>
                <w:szCs w:val="36"/>
              </w:rPr>
            </w:pPr>
            <w:r>
              <w:rPr>
                <w:rFonts w:ascii="Calibri" w:hAnsi="Calibri"/>
                <w:sz w:val="36"/>
                <w:szCs w:val="36"/>
              </w:rPr>
              <w:t xml:space="preserve">Hartfield Parish Council </w:t>
            </w:r>
          </w:p>
        </w:tc>
      </w:tr>
    </w:tbl>
    <w:p w14:paraId="55B49325" w14:textId="77777777" w:rsidR="00B36517" w:rsidRPr="007C2F5F" w:rsidRDefault="00B36517" w:rsidP="009C3C49">
      <w:pPr>
        <w:pStyle w:val="Header"/>
        <w:jc w:val="center"/>
        <w:rPr>
          <w:rFonts w:ascii="Calibri" w:hAnsi="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7"/>
      </w:tblGrid>
      <w:tr w:rsidR="00B36517" w14:paraId="08B9BFBF" w14:textId="77777777" w:rsidTr="005F5B8B">
        <w:trPr>
          <w:trHeight w:val="397"/>
        </w:trPr>
        <w:tc>
          <w:tcPr>
            <w:tcW w:w="4927" w:type="dxa"/>
            <w:vAlign w:val="center"/>
          </w:tcPr>
          <w:p w14:paraId="0B7DDF3E" w14:textId="77777777" w:rsidR="00B36517" w:rsidRPr="005F5B8B" w:rsidRDefault="00B36517" w:rsidP="00A23BB8">
            <w:pPr>
              <w:pStyle w:val="Header"/>
              <w:rPr>
                <w:rFonts w:ascii="Calibri" w:hAnsi="Calibri"/>
                <w:b/>
              </w:rPr>
            </w:pPr>
            <w:r w:rsidRPr="005F5B8B">
              <w:rPr>
                <w:rFonts w:ascii="Calibri" w:hAnsi="Calibri"/>
                <w:b/>
              </w:rPr>
              <w:t>Date of Policy Statement</w:t>
            </w:r>
          </w:p>
        </w:tc>
        <w:tc>
          <w:tcPr>
            <w:tcW w:w="4927" w:type="dxa"/>
            <w:vAlign w:val="center"/>
          </w:tcPr>
          <w:p w14:paraId="76E9F71B" w14:textId="763129C9" w:rsidR="00B36517" w:rsidRPr="005F5B8B" w:rsidRDefault="00144DE6" w:rsidP="00A23BB8">
            <w:pPr>
              <w:pStyle w:val="Header"/>
              <w:rPr>
                <w:rFonts w:ascii="Calibri" w:hAnsi="Calibri"/>
                <w:b/>
              </w:rPr>
            </w:pPr>
            <w:r>
              <w:rPr>
                <w:rFonts w:ascii="Calibri" w:hAnsi="Calibri"/>
                <w:b/>
              </w:rPr>
              <w:t>2</w:t>
            </w:r>
            <w:r w:rsidR="00C3787B">
              <w:rPr>
                <w:rFonts w:ascii="Calibri" w:hAnsi="Calibri"/>
                <w:b/>
              </w:rPr>
              <w:t>/2/14</w:t>
            </w:r>
          </w:p>
        </w:tc>
      </w:tr>
      <w:tr w:rsidR="00B36517" w14:paraId="6D63E6C5" w14:textId="77777777" w:rsidTr="005F5B8B">
        <w:trPr>
          <w:trHeight w:val="397"/>
        </w:trPr>
        <w:tc>
          <w:tcPr>
            <w:tcW w:w="4927" w:type="dxa"/>
            <w:vAlign w:val="center"/>
          </w:tcPr>
          <w:p w14:paraId="58FDBC74" w14:textId="77777777" w:rsidR="00B36517" w:rsidRPr="005F5B8B" w:rsidRDefault="00B36517" w:rsidP="00A23BB8">
            <w:pPr>
              <w:pStyle w:val="Header"/>
              <w:rPr>
                <w:rFonts w:ascii="Calibri" w:hAnsi="Calibri"/>
                <w:b/>
              </w:rPr>
            </w:pPr>
            <w:r w:rsidRPr="005F5B8B">
              <w:rPr>
                <w:rFonts w:ascii="Calibri" w:hAnsi="Calibri"/>
                <w:b/>
              </w:rPr>
              <w:t>Date for Review</w:t>
            </w:r>
          </w:p>
        </w:tc>
        <w:tc>
          <w:tcPr>
            <w:tcW w:w="4927" w:type="dxa"/>
            <w:vAlign w:val="center"/>
          </w:tcPr>
          <w:p w14:paraId="1933A594" w14:textId="526669BB" w:rsidR="00B36517" w:rsidRPr="005F5B8B" w:rsidRDefault="00144DE6" w:rsidP="00A23BB8">
            <w:pPr>
              <w:pStyle w:val="Header"/>
              <w:rPr>
                <w:rFonts w:ascii="Calibri" w:hAnsi="Calibri"/>
                <w:b/>
              </w:rPr>
            </w:pPr>
            <w:r>
              <w:rPr>
                <w:rFonts w:ascii="Calibri" w:hAnsi="Calibri"/>
                <w:b/>
              </w:rPr>
              <w:t>Approved 13/5/2019 To be reviewed May 2020</w:t>
            </w:r>
            <w:bookmarkStart w:id="0" w:name="_GoBack"/>
            <w:bookmarkEnd w:id="0"/>
          </w:p>
        </w:tc>
      </w:tr>
    </w:tbl>
    <w:p w14:paraId="2C9902C3" w14:textId="77777777" w:rsidR="00B36517" w:rsidRPr="007C2F5F" w:rsidRDefault="00B36517">
      <w:pPr>
        <w:pStyle w:val="Header"/>
        <w:rPr>
          <w:rFonts w:ascii="Calibri" w:hAnsi="Calibri"/>
          <w:b/>
        </w:rPr>
      </w:pPr>
    </w:p>
    <w:p w14:paraId="050BBB99" w14:textId="77777777" w:rsidR="00B36517" w:rsidRPr="007C2F5F" w:rsidRDefault="00B36517" w:rsidP="00A23BB8">
      <w:pPr>
        <w:pStyle w:val="Header"/>
        <w:jc w:val="center"/>
        <w:rPr>
          <w:rFonts w:ascii="Calibri" w:hAnsi="Calibri"/>
          <w:b/>
          <w:u w:val="single"/>
        </w:rPr>
      </w:pPr>
      <w:r w:rsidRPr="007C2F5F">
        <w:rPr>
          <w:rFonts w:ascii="Calibri" w:hAnsi="Calibri"/>
          <w:b/>
          <w:u w:val="single"/>
        </w:rPr>
        <w:t>Employing Authority Discretions Under the Local Government Pension Scheme Regulations 2007/2008 (As Amended)</w:t>
      </w:r>
    </w:p>
    <w:p w14:paraId="2E289E5F" w14:textId="77777777" w:rsidR="00B36517" w:rsidRPr="007C2F5F" w:rsidRDefault="00B36517">
      <w:pPr>
        <w:pStyle w:val="Header"/>
        <w:rPr>
          <w:rFonts w:ascii="Calibri" w:hAnsi="Calibri"/>
        </w:rPr>
      </w:pPr>
    </w:p>
    <w:p w14:paraId="6750686B" w14:textId="77777777" w:rsidR="00B36517" w:rsidRDefault="00B36517" w:rsidP="00A23BB8">
      <w:pPr>
        <w:jc w:val="both"/>
        <w:rPr>
          <w:rFonts w:ascii="Calibri" w:hAnsi="Calibri"/>
          <w:bCs/>
          <w:sz w:val="24"/>
          <w:szCs w:val="24"/>
        </w:rPr>
      </w:pPr>
      <w:r>
        <w:rPr>
          <w:rFonts w:ascii="Calibri" w:hAnsi="Calibri"/>
          <w:bCs/>
          <w:sz w:val="24"/>
          <w:szCs w:val="24"/>
        </w:rPr>
        <w:t xml:space="preserve">Each employing authority </w:t>
      </w:r>
      <w:r w:rsidRPr="007C2F5F">
        <w:rPr>
          <w:rFonts w:ascii="Calibri" w:hAnsi="Calibri"/>
          <w:bCs/>
          <w:sz w:val="24"/>
          <w:szCs w:val="24"/>
        </w:rPr>
        <w:t xml:space="preserve">must prepare a written statement of its policy in relation to the exercise of its functions under regulations </w:t>
      </w:r>
    </w:p>
    <w:p w14:paraId="12C2BCC5" w14:textId="77777777" w:rsidR="00B36517" w:rsidRDefault="00B36517" w:rsidP="00A23BB8">
      <w:pPr>
        <w:pStyle w:val="ListParagraph"/>
        <w:numPr>
          <w:ilvl w:val="0"/>
          <w:numId w:val="2"/>
        </w:numPr>
        <w:jc w:val="both"/>
        <w:rPr>
          <w:rFonts w:ascii="Calibri" w:hAnsi="Calibri"/>
          <w:bCs/>
          <w:sz w:val="24"/>
          <w:szCs w:val="24"/>
        </w:rPr>
      </w:pPr>
      <w:r w:rsidRPr="007C2F5F">
        <w:rPr>
          <w:rFonts w:ascii="Calibri" w:hAnsi="Calibri"/>
          <w:bCs/>
          <w:sz w:val="24"/>
          <w:szCs w:val="24"/>
        </w:rPr>
        <w:t xml:space="preserve">12 (power of employing authority to increase total membership of active members), </w:t>
      </w:r>
    </w:p>
    <w:p w14:paraId="53D09A9F" w14:textId="77777777" w:rsidR="00B36517" w:rsidRDefault="00B36517" w:rsidP="00A23BB8">
      <w:pPr>
        <w:pStyle w:val="ListParagraph"/>
        <w:numPr>
          <w:ilvl w:val="0"/>
          <w:numId w:val="2"/>
        </w:numPr>
        <w:jc w:val="both"/>
        <w:rPr>
          <w:rFonts w:ascii="Calibri" w:hAnsi="Calibri"/>
          <w:bCs/>
          <w:sz w:val="24"/>
          <w:szCs w:val="24"/>
        </w:rPr>
      </w:pPr>
      <w:r w:rsidRPr="007C2F5F">
        <w:rPr>
          <w:rFonts w:ascii="Calibri" w:hAnsi="Calibri"/>
          <w:bCs/>
          <w:sz w:val="24"/>
          <w:szCs w:val="24"/>
        </w:rPr>
        <w:t xml:space="preserve">13 (power of employing authority to award additional pension), </w:t>
      </w:r>
    </w:p>
    <w:p w14:paraId="04C8A36D" w14:textId="77777777" w:rsidR="00B36517" w:rsidRDefault="00B36517" w:rsidP="00A23BB8">
      <w:pPr>
        <w:pStyle w:val="ListParagraph"/>
        <w:numPr>
          <w:ilvl w:val="0"/>
          <w:numId w:val="2"/>
        </w:numPr>
        <w:jc w:val="both"/>
        <w:rPr>
          <w:rFonts w:ascii="Calibri" w:hAnsi="Calibri"/>
          <w:bCs/>
          <w:sz w:val="24"/>
          <w:szCs w:val="24"/>
        </w:rPr>
      </w:pPr>
      <w:r w:rsidRPr="007C2F5F">
        <w:rPr>
          <w:rFonts w:ascii="Calibri" w:hAnsi="Calibri"/>
          <w:bCs/>
          <w:sz w:val="24"/>
          <w:szCs w:val="24"/>
        </w:rPr>
        <w:t xml:space="preserve">18 (flexible retirement) and </w:t>
      </w:r>
    </w:p>
    <w:p w14:paraId="20324206" w14:textId="77777777" w:rsidR="00B36517" w:rsidRPr="007C2F5F" w:rsidRDefault="00B36517" w:rsidP="00A23BB8">
      <w:pPr>
        <w:pStyle w:val="ListParagraph"/>
        <w:numPr>
          <w:ilvl w:val="0"/>
          <w:numId w:val="2"/>
        </w:numPr>
        <w:jc w:val="both"/>
        <w:rPr>
          <w:rFonts w:ascii="Calibri" w:hAnsi="Calibri"/>
          <w:bCs/>
          <w:sz w:val="24"/>
          <w:szCs w:val="24"/>
        </w:rPr>
      </w:pPr>
      <w:r w:rsidRPr="007C2F5F">
        <w:rPr>
          <w:rFonts w:ascii="Calibri" w:hAnsi="Calibri"/>
          <w:bCs/>
          <w:sz w:val="24"/>
          <w:szCs w:val="24"/>
        </w:rPr>
        <w:t>30 (choice of early payment of pension) and 30A (choice of payment of pension: pensioner member with deferred benefits) of the Benefits Regulations.</w:t>
      </w:r>
    </w:p>
    <w:p w14:paraId="431BA736" w14:textId="77777777" w:rsidR="00B36517" w:rsidRPr="007C2F5F" w:rsidRDefault="00B36517" w:rsidP="009C3C49">
      <w:pPr>
        <w:jc w:val="both"/>
        <w:rPr>
          <w:rFonts w:ascii="Calibri" w:hAnsi="Calibri"/>
          <w:bCs/>
          <w:sz w:val="24"/>
          <w:szCs w:val="24"/>
        </w:rPr>
      </w:pPr>
      <w:r w:rsidRPr="007C2F5F">
        <w:rPr>
          <w:rFonts w:ascii="Calibri" w:hAnsi="Calibri"/>
          <w:bCs/>
          <w:sz w:val="24"/>
          <w:szCs w:val="24"/>
        </w:rPr>
        <w:t xml:space="preserve"> </w:t>
      </w:r>
    </w:p>
    <w:p w14:paraId="16EAA3F4" w14:textId="77777777" w:rsidR="00B36517" w:rsidRPr="007C2F5F" w:rsidRDefault="00B36517">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168"/>
        <w:gridCol w:w="3302"/>
      </w:tblGrid>
      <w:tr w:rsidR="00B36517" w:rsidRPr="00A23BB8" w14:paraId="33ECDBF7" w14:textId="77777777" w:rsidTr="00A23BB8">
        <w:tc>
          <w:tcPr>
            <w:tcW w:w="1384" w:type="dxa"/>
          </w:tcPr>
          <w:p w14:paraId="42A0793E" w14:textId="77777777" w:rsidR="00B36517" w:rsidRPr="00A23BB8" w:rsidRDefault="00B36517" w:rsidP="00A749D6">
            <w:pPr>
              <w:jc w:val="center"/>
              <w:rPr>
                <w:rFonts w:ascii="Calibri" w:hAnsi="Calibri"/>
                <w:sz w:val="24"/>
                <w:szCs w:val="24"/>
                <w:u w:val="single"/>
              </w:rPr>
            </w:pPr>
            <w:r w:rsidRPr="00A23BB8">
              <w:rPr>
                <w:rFonts w:ascii="Calibri" w:hAnsi="Calibri"/>
                <w:sz w:val="24"/>
                <w:szCs w:val="24"/>
                <w:u w:val="single"/>
              </w:rPr>
              <w:t>Regulation</w:t>
            </w:r>
          </w:p>
          <w:p w14:paraId="215822CE" w14:textId="77777777" w:rsidR="00B36517" w:rsidRPr="00A23BB8" w:rsidRDefault="00B36517" w:rsidP="00A749D6">
            <w:pPr>
              <w:jc w:val="center"/>
              <w:rPr>
                <w:rFonts w:ascii="Calibri" w:hAnsi="Calibri"/>
                <w:sz w:val="24"/>
                <w:szCs w:val="24"/>
                <w:u w:val="single"/>
              </w:rPr>
            </w:pPr>
          </w:p>
        </w:tc>
        <w:tc>
          <w:tcPr>
            <w:tcW w:w="5168" w:type="dxa"/>
          </w:tcPr>
          <w:p w14:paraId="4D3C0629" w14:textId="77777777" w:rsidR="00B36517" w:rsidRPr="00A23BB8" w:rsidRDefault="00B36517" w:rsidP="00A749D6">
            <w:pPr>
              <w:jc w:val="center"/>
              <w:rPr>
                <w:rFonts w:ascii="Calibri" w:hAnsi="Calibri"/>
                <w:sz w:val="24"/>
                <w:szCs w:val="24"/>
                <w:u w:val="single"/>
              </w:rPr>
            </w:pPr>
            <w:r w:rsidRPr="00A23BB8">
              <w:rPr>
                <w:rFonts w:ascii="Calibri" w:hAnsi="Calibri"/>
                <w:sz w:val="24"/>
                <w:szCs w:val="24"/>
                <w:u w:val="single"/>
              </w:rPr>
              <w:t>Discretion</w:t>
            </w:r>
          </w:p>
        </w:tc>
        <w:tc>
          <w:tcPr>
            <w:tcW w:w="3302" w:type="dxa"/>
          </w:tcPr>
          <w:p w14:paraId="12C53E1F" w14:textId="77777777" w:rsidR="00B36517" w:rsidRPr="00A23BB8" w:rsidRDefault="00B36517" w:rsidP="00A749D6">
            <w:pPr>
              <w:jc w:val="center"/>
              <w:rPr>
                <w:rFonts w:ascii="Calibri" w:hAnsi="Calibri"/>
                <w:sz w:val="24"/>
                <w:szCs w:val="24"/>
                <w:u w:val="single"/>
              </w:rPr>
            </w:pPr>
            <w:r w:rsidRPr="00A23BB8">
              <w:rPr>
                <w:rFonts w:ascii="Calibri" w:hAnsi="Calibri"/>
                <w:sz w:val="24"/>
                <w:szCs w:val="24"/>
                <w:u w:val="single"/>
              </w:rPr>
              <w:t>Employer’s Policy on the exercise of this discretion</w:t>
            </w:r>
          </w:p>
        </w:tc>
      </w:tr>
    </w:tbl>
    <w:p w14:paraId="20BF6F1F" w14:textId="77777777" w:rsidR="00B36517" w:rsidRDefault="00B36517">
      <w:pPr>
        <w:rPr>
          <w:rFonts w:ascii="Calibri" w:hAnsi="Calibri"/>
          <w:sz w:val="24"/>
          <w:szCs w:val="24"/>
        </w:rPr>
      </w:pPr>
    </w:p>
    <w:p w14:paraId="6B16AA50" w14:textId="77777777" w:rsidR="00B36517" w:rsidRPr="007C2F5F" w:rsidRDefault="00B36517">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168"/>
        <w:gridCol w:w="3302"/>
      </w:tblGrid>
      <w:tr w:rsidR="00B36517" w:rsidRPr="00A23BB8" w14:paraId="4B35116C" w14:textId="77777777" w:rsidTr="0047784A">
        <w:tc>
          <w:tcPr>
            <w:tcW w:w="9854" w:type="dxa"/>
            <w:gridSpan w:val="3"/>
          </w:tcPr>
          <w:p w14:paraId="5F90A5CA" w14:textId="77777777" w:rsidR="00B36517" w:rsidRPr="00A23BB8" w:rsidRDefault="00B36517" w:rsidP="009D7710">
            <w:pPr>
              <w:jc w:val="center"/>
              <w:rPr>
                <w:rFonts w:ascii="Calibri" w:hAnsi="Calibri"/>
                <w:b/>
                <w:sz w:val="24"/>
                <w:szCs w:val="24"/>
                <w:u w:val="single"/>
              </w:rPr>
            </w:pPr>
            <w:r w:rsidRPr="00A23BB8">
              <w:rPr>
                <w:rFonts w:ascii="Calibri" w:hAnsi="Calibri"/>
                <w:b/>
                <w:sz w:val="24"/>
                <w:szCs w:val="24"/>
                <w:u w:val="single"/>
              </w:rPr>
              <w:t>The Local Government Pension Scheme (Benefits, Membership and Contributions) Regulations 2007  as amended</w:t>
            </w:r>
          </w:p>
        </w:tc>
      </w:tr>
      <w:tr w:rsidR="00B36517" w:rsidRPr="007C2F5F" w14:paraId="45DAF223" w14:textId="77777777" w:rsidTr="00CD2945">
        <w:tc>
          <w:tcPr>
            <w:tcW w:w="1384" w:type="dxa"/>
          </w:tcPr>
          <w:p w14:paraId="4DEA2A4F" w14:textId="77777777" w:rsidR="00B36517" w:rsidRPr="007C2F5F" w:rsidRDefault="00B36517" w:rsidP="009379C1">
            <w:pPr>
              <w:rPr>
                <w:rFonts w:ascii="Calibri" w:hAnsi="Calibri"/>
                <w:sz w:val="24"/>
                <w:szCs w:val="24"/>
              </w:rPr>
            </w:pPr>
            <w:r>
              <w:rPr>
                <w:rFonts w:ascii="Calibri" w:hAnsi="Calibri"/>
                <w:sz w:val="24"/>
                <w:szCs w:val="24"/>
              </w:rPr>
              <w:t>12</w:t>
            </w:r>
          </w:p>
        </w:tc>
        <w:tc>
          <w:tcPr>
            <w:tcW w:w="5168" w:type="dxa"/>
          </w:tcPr>
          <w:p w14:paraId="2B65FCE1" w14:textId="77777777" w:rsidR="00B36517" w:rsidRPr="007C2F5F" w:rsidRDefault="00B36517" w:rsidP="00A23BB8">
            <w:pPr>
              <w:jc w:val="both"/>
              <w:rPr>
                <w:rFonts w:ascii="Calibri" w:hAnsi="Calibri"/>
                <w:sz w:val="24"/>
                <w:szCs w:val="24"/>
              </w:rPr>
            </w:pPr>
            <w:r w:rsidRPr="008B19A4">
              <w:rPr>
                <w:rFonts w:ascii="Calibri" w:hAnsi="Calibri"/>
                <w:sz w:val="24"/>
                <w:szCs w:val="24"/>
              </w:rPr>
              <w:t>Whether to augment membership of an active member (by up to 10 years)</w:t>
            </w:r>
          </w:p>
        </w:tc>
        <w:tc>
          <w:tcPr>
            <w:tcW w:w="3302" w:type="dxa"/>
          </w:tcPr>
          <w:p w14:paraId="02A317F6" w14:textId="77777777" w:rsidR="00B36517" w:rsidRPr="008B19A4" w:rsidRDefault="0069672F" w:rsidP="004E6D39">
            <w:pPr>
              <w:jc w:val="both"/>
              <w:rPr>
                <w:rFonts w:ascii="Calibri" w:hAnsi="Calibri"/>
                <w:sz w:val="24"/>
                <w:szCs w:val="24"/>
              </w:rPr>
            </w:pPr>
            <w:r>
              <w:rPr>
                <w:rFonts w:ascii="Verdana" w:hAnsi="Verdana"/>
                <w:b/>
                <w:i/>
              </w:rPr>
              <w:t xml:space="preserve">Employer </w:t>
            </w:r>
            <w:r w:rsidR="00B36517" w:rsidRPr="009C3C49">
              <w:rPr>
                <w:rFonts w:ascii="Verdana" w:hAnsi="Verdana"/>
              </w:rPr>
              <w:t>will not have a general policy to augment membership of an active member by up to 10 years but may decide to do so where a sound business case can be made for exercising this discretion. Each case will be considered on its individual merits</w:t>
            </w:r>
            <w:r w:rsidR="00B36517" w:rsidRPr="008C7EBD">
              <w:rPr>
                <w:rStyle w:val="PlaceholderText"/>
              </w:rPr>
              <w:t>.</w:t>
            </w:r>
          </w:p>
        </w:tc>
      </w:tr>
      <w:tr w:rsidR="00B36517" w:rsidRPr="007C2F5F" w14:paraId="4F2A6978" w14:textId="77777777" w:rsidTr="00CD2945">
        <w:tc>
          <w:tcPr>
            <w:tcW w:w="1384" w:type="dxa"/>
          </w:tcPr>
          <w:p w14:paraId="7B880447" w14:textId="77777777" w:rsidR="00B36517" w:rsidRPr="007C2F5F" w:rsidRDefault="00B36517" w:rsidP="009379C1">
            <w:pPr>
              <w:rPr>
                <w:rFonts w:ascii="Calibri" w:hAnsi="Calibri"/>
                <w:sz w:val="24"/>
                <w:szCs w:val="24"/>
              </w:rPr>
            </w:pPr>
            <w:r>
              <w:rPr>
                <w:rFonts w:ascii="Calibri" w:hAnsi="Calibri"/>
                <w:sz w:val="24"/>
                <w:szCs w:val="24"/>
              </w:rPr>
              <w:t>13</w:t>
            </w:r>
          </w:p>
        </w:tc>
        <w:tc>
          <w:tcPr>
            <w:tcW w:w="5168" w:type="dxa"/>
          </w:tcPr>
          <w:p w14:paraId="2C19074A" w14:textId="77777777" w:rsidR="00B36517" w:rsidRPr="007C2F5F" w:rsidRDefault="00B36517" w:rsidP="00A23BB8">
            <w:pPr>
              <w:jc w:val="both"/>
              <w:rPr>
                <w:rFonts w:ascii="Calibri" w:hAnsi="Calibri"/>
                <w:sz w:val="24"/>
                <w:szCs w:val="24"/>
              </w:rPr>
            </w:pPr>
            <w:r w:rsidRPr="008B19A4">
              <w:rPr>
                <w:rFonts w:ascii="Calibri" w:hAnsi="Calibri"/>
                <w:sz w:val="24"/>
                <w:szCs w:val="24"/>
              </w:rPr>
              <w:t>Whether to grant additional pension to a member (by up to £5,000 p.a.)</w:t>
            </w:r>
          </w:p>
        </w:tc>
        <w:tc>
          <w:tcPr>
            <w:tcW w:w="3302" w:type="dxa"/>
          </w:tcPr>
          <w:p w14:paraId="57396026" w14:textId="77777777" w:rsidR="00B36517" w:rsidRPr="008B19A4" w:rsidRDefault="0069672F" w:rsidP="004E6D39">
            <w:pPr>
              <w:jc w:val="both"/>
              <w:rPr>
                <w:rFonts w:ascii="Calibri" w:hAnsi="Calibri"/>
                <w:sz w:val="24"/>
                <w:szCs w:val="24"/>
              </w:rPr>
            </w:pPr>
            <w:r w:rsidRPr="0069672F">
              <w:rPr>
                <w:rFonts w:ascii="Verdana" w:hAnsi="Verdana"/>
                <w:b/>
                <w:i/>
              </w:rPr>
              <w:t>Employer</w:t>
            </w:r>
            <w:r w:rsidR="00B36517" w:rsidRPr="009C3C49">
              <w:rPr>
                <w:rFonts w:ascii="Verdana" w:hAnsi="Verdana"/>
              </w:rPr>
              <w:t xml:space="preserve"> will not have a general policy to grant additional pension to a member (by up to £5,000 p.a.) but may consider doing so where a sound business case can be made for exercising this discretion. Each case will be considered on its individual merits.</w:t>
            </w:r>
          </w:p>
        </w:tc>
      </w:tr>
      <w:tr w:rsidR="00B36517" w:rsidRPr="007C2F5F" w14:paraId="522D2DB4" w14:textId="77777777" w:rsidTr="00CD2945">
        <w:tc>
          <w:tcPr>
            <w:tcW w:w="1384" w:type="dxa"/>
          </w:tcPr>
          <w:p w14:paraId="291D0E5E" w14:textId="77777777" w:rsidR="00B36517" w:rsidRDefault="00B36517" w:rsidP="009379C1">
            <w:pPr>
              <w:rPr>
                <w:rFonts w:ascii="Calibri" w:hAnsi="Calibri"/>
                <w:sz w:val="24"/>
                <w:szCs w:val="24"/>
              </w:rPr>
            </w:pPr>
            <w:r>
              <w:rPr>
                <w:rFonts w:ascii="Calibri" w:hAnsi="Calibri"/>
                <w:sz w:val="24"/>
                <w:szCs w:val="24"/>
              </w:rPr>
              <w:t>18(1)</w:t>
            </w:r>
          </w:p>
        </w:tc>
        <w:tc>
          <w:tcPr>
            <w:tcW w:w="5168" w:type="dxa"/>
          </w:tcPr>
          <w:p w14:paraId="5ABCE398" w14:textId="77777777" w:rsidR="00B36517" w:rsidRPr="007C2F5F" w:rsidRDefault="00B36517" w:rsidP="00A23BB8">
            <w:pPr>
              <w:jc w:val="both"/>
              <w:rPr>
                <w:rFonts w:ascii="Calibri" w:hAnsi="Calibri"/>
                <w:sz w:val="24"/>
                <w:szCs w:val="24"/>
              </w:rPr>
            </w:pPr>
            <w:r w:rsidRPr="008B19A4">
              <w:rPr>
                <w:rFonts w:ascii="Calibri" w:hAnsi="Calibri"/>
                <w:sz w:val="24"/>
                <w:szCs w:val="24"/>
              </w:rPr>
              <w:t>Whether all or some benefits can be paid if an employee reduces their hours or grade after reaching age 55 (flexible retirement)</w:t>
            </w:r>
          </w:p>
        </w:tc>
        <w:tc>
          <w:tcPr>
            <w:tcW w:w="3302" w:type="dxa"/>
          </w:tcPr>
          <w:p w14:paraId="1B7427F2" w14:textId="77777777" w:rsidR="00B36517" w:rsidRPr="008B19A4" w:rsidRDefault="0069672F" w:rsidP="00605D1E">
            <w:pPr>
              <w:jc w:val="both"/>
              <w:rPr>
                <w:rFonts w:ascii="Calibri" w:hAnsi="Calibri"/>
                <w:sz w:val="24"/>
                <w:szCs w:val="24"/>
              </w:rPr>
            </w:pPr>
            <w:r w:rsidRPr="0069672F">
              <w:rPr>
                <w:rFonts w:ascii="Verdana" w:hAnsi="Verdana"/>
                <w:b/>
                <w:i/>
              </w:rPr>
              <w:t>Employer</w:t>
            </w:r>
            <w:r>
              <w:rPr>
                <w:rFonts w:ascii="Verdana" w:hAnsi="Verdana"/>
              </w:rPr>
              <w:t xml:space="preserve"> </w:t>
            </w:r>
            <w:r w:rsidR="00B36517" w:rsidRPr="009C3C49">
              <w:rPr>
                <w:rFonts w:ascii="Verdana" w:hAnsi="Verdana"/>
              </w:rPr>
              <w:t xml:space="preserve">will not have a general policy of exercising this discretion but may </w:t>
            </w:r>
            <w:r w:rsidR="00605D1E">
              <w:rPr>
                <w:rFonts w:ascii="Verdana" w:hAnsi="Verdana"/>
              </w:rPr>
              <w:t xml:space="preserve">do so </w:t>
            </w:r>
            <w:r w:rsidR="00B36517" w:rsidRPr="009C3C49">
              <w:rPr>
                <w:rFonts w:ascii="Verdana" w:hAnsi="Verdana"/>
              </w:rPr>
              <w:t xml:space="preserve">where a sound business case can be made for granting flexible retirement with immediate access to all or </w:t>
            </w:r>
            <w:r w:rsidR="00B36517" w:rsidRPr="009C3C49">
              <w:rPr>
                <w:rFonts w:ascii="Verdana" w:hAnsi="Verdana"/>
              </w:rPr>
              <w:lastRenderedPageBreak/>
              <w:t xml:space="preserve">part of the member’s benefits. </w:t>
            </w:r>
            <w:r w:rsidR="00605D1E" w:rsidRPr="0069672F">
              <w:rPr>
                <w:rFonts w:ascii="Verdana" w:hAnsi="Verdana"/>
                <w:b/>
                <w:i/>
              </w:rPr>
              <w:t>Employer</w:t>
            </w:r>
            <w:r w:rsidR="00605D1E" w:rsidRPr="009C3C49">
              <w:rPr>
                <w:rFonts w:ascii="Verdana" w:hAnsi="Verdana"/>
              </w:rPr>
              <w:t xml:space="preserve"> </w:t>
            </w:r>
            <w:r w:rsidR="00B36517" w:rsidRPr="009C3C49">
              <w:rPr>
                <w:rFonts w:ascii="Verdana" w:hAnsi="Verdana"/>
              </w:rPr>
              <w:t xml:space="preserve">will consider requests on a case by case basis.  </w:t>
            </w:r>
          </w:p>
        </w:tc>
      </w:tr>
      <w:tr w:rsidR="00B36517" w:rsidRPr="007C2F5F" w14:paraId="0EAFB275" w14:textId="77777777" w:rsidTr="00CD2945">
        <w:tc>
          <w:tcPr>
            <w:tcW w:w="1384" w:type="dxa"/>
          </w:tcPr>
          <w:p w14:paraId="2A3F3479" w14:textId="77777777" w:rsidR="00B36517" w:rsidRPr="007C2F5F" w:rsidRDefault="00B36517" w:rsidP="009379C1">
            <w:pPr>
              <w:rPr>
                <w:rFonts w:ascii="Calibri" w:hAnsi="Calibri"/>
                <w:sz w:val="24"/>
                <w:szCs w:val="24"/>
              </w:rPr>
            </w:pPr>
            <w:r w:rsidRPr="007C2F5F">
              <w:rPr>
                <w:rFonts w:ascii="Calibri" w:hAnsi="Calibri"/>
                <w:sz w:val="24"/>
                <w:szCs w:val="24"/>
              </w:rPr>
              <w:lastRenderedPageBreak/>
              <w:t>18(3</w:t>
            </w:r>
            <w:r>
              <w:rPr>
                <w:rFonts w:ascii="Calibri" w:hAnsi="Calibri"/>
                <w:sz w:val="24"/>
                <w:szCs w:val="24"/>
              </w:rPr>
              <w:t>)</w:t>
            </w:r>
          </w:p>
        </w:tc>
        <w:tc>
          <w:tcPr>
            <w:tcW w:w="5168" w:type="dxa"/>
          </w:tcPr>
          <w:p w14:paraId="55CCD6E1" w14:textId="77777777" w:rsidR="00B36517" w:rsidRPr="007C2F5F" w:rsidRDefault="00B36517" w:rsidP="00A23BB8">
            <w:pPr>
              <w:jc w:val="both"/>
              <w:rPr>
                <w:rFonts w:ascii="Calibri" w:hAnsi="Calibri"/>
                <w:sz w:val="24"/>
                <w:szCs w:val="24"/>
              </w:rPr>
            </w:pPr>
            <w:r w:rsidRPr="008B19A4">
              <w:rPr>
                <w:rFonts w:ascii="Calibri" w:hAnsi="Calibri"/>
                <w:sz w:val="24"/>
                <w:szCs w:val="24"/>
              </w:rPr>
              <w:t>Whether to waive, in whole or in part, any actuarial reduction on benefits paid on flexible retirement.</w:t>
            </w:r>
          </w:p>
        </w:tc>
        <w:tc>
          <w:tcPr>
            <w:tcW w:w="3302" w:type="dxa"/>
          </w:tcPr>
          <w:p w14:paraId="2E5C562C" w14:textId="77777777" w:rsidR="00B36517" w:rsidRPr="009C3C49" w:rsidRDefault="0069672F" w:rsidP="004E6D39">
            <w:pPr>
              <w:jc w:val="both"/>
              <w:rPr>
                <w:rFonts w:ascii="Verdana" w:hAnsi="Verdana"/>
              </w:rPr>
            </w:pPr>
            <w:r w:rsidRPr="0069672F">
              <w:rPr>
                <w:rFonts w:ascii="Verdana" w:hAnsi="Verdana"/>
                <w:b/>
                <w:i/>
              </w:rPr>
              <w:t>Employer</w:t>
            </w:r>
            <w:r>
              <w:rPr>
                <w:rFonts w:ascii="Verdana" w:hAnsi="Verdana"/>
              </w:rPr>
              <w:t xml:space="preserve"> </w:t>
            </w:r>
            <w:r w:rsidR="00B36517" w:rsidRPr="009C3C49">
              <w:rPr>
                <w:rFonts w:ascii="Verdana" w:hAnsi="Verdana"/>
              </w:rPr>
              <w:t>will not waive, in whole or in part, the actuarial reduction on the benefits paid on flexible retirement.</w:t>
            </w:r>
          </w:p>
          <w:p w14:paraId="2762A70F" w14:textId="77777777" w:rsidR="00B36517" w:rsidRPr="008B19A4" w:rsidRDefault="00B36517" w:rsidP="004E6D39">
            <w:pPr>
              <w:jc w:val="both"/>
              <w:rPr>
                <w:rFonts w:ascii="Calibri" w:hAnsi="Calibri"/>
                <w:sz w:val="24"/>
                <w:szCs w:val="24"/>
              </w:rPr>
            </w:pPr>
            <w:r w:rsidRPr="008C7EBD">
              <w:rPr>
                <w:rStyle w:val="PlaceholderText"/>
              </w:rPr>
              <w:t>.</w:t>
            </w:r>
          </w:p>
        </w:tc>
      </w:tr>
      <w:tr w:rsidR="00B36517" w:rsidRPr="007C2F5F" w14:paraId="4A851B4B" w14:textId="77777777" w:rsidTr="00CD2945">
        <w:tc>
          <w:tcPr>
            <w:tcW w:w="1384" w:type="dxa"/>
          </w:tcPr>
          <w:p w14:paraId="055DFB57" w14:textId="77777777" w:rsidR="00B36517" w:rsidRPr="007C2F5F" w:rsidRDefault="00B36517">
            <w:pPr>
              <w:rPr>
                <w:rFonts w:ascii="Calibri" w:hAnsi="Calibri"/>
                <w:sz w:val="24"/>
                <w:szCs w:val="24"/>
              </w:rPr>
            </w:pPr>
            <w:r>
              <w:rPr>
                <w:rFonts w:ascii="Calibri" w:hAnsi="Calibri"/>
                <w:sz w:val="24"/>
                <w:szCs w:val="24"/>
              </w:rPr>
              <w:t>30(2)</w:t>
            </w:r>
          </w:p>
        </w:tc>
        <w:tc>
          <w:tcPr>
            <w:tcW w:w="5168" w:type="dxa"/>
          </w:tcPr>
          <w:p w14:paraId="017FDB00" w14:textId="77777777" w:rsidR="00B36517" w:rsidRPr="007C2F5F" w:rsidRDefault="00B36517" w:rsidP="00A23BB8">
            <w:pPr>
              <w:jc w:val="both"/>
              <w:rPr>
                <w:rFonts w:ascii="Calibri" w:hAnsi="Calibri"/>
                <w:sz w:val="24"/>
                <w:szCs w:val="24"/>
              </w:rPr>
            </w:pPr>
            <w:r w:rsidRPr="008B19A4">
              <w:rPr>
                <w:rFonts w:ascii="Calibri" w:hAnsi="Calibri"/>
                <w:sz w:val="24"/>
                <w:szCs w:val="24"/>
              </w:rPr>
              <w:t>Whether to grant application for early payment of benefits on or after age 50/55 and before age 60</w:t>
            </w:r>
            <w:r>
              <w:rPr>
                <w:rFonts w:ascii="Calibri" w:hAnsi="Calibri"/>
                <w:sz w:val="24"/>
                <w:szCs w:val="24"/>
              </w:rPr>
              <w:t>.</w:t>
            </w:r>
          </w:p>
        </w:tc>
        <w:tc>
          <w:tcPr>
            <w:tcW w:w="3302" w:type="dxa"/>
          </w:tcPr>
          <w:p w14:paraId="210150CA" w14:textId="77777777" w:rsidR="00B36517" w:rsidRPr="007C2F5F" w:rsidRDefault="0069672F" w:rsidP="00605D1E">
            <w:pPr>
              <w:jc w:val="both"/>
              <w:rPr>
                <w:rFonts w:ascii="Calibri" w:hAnsi="Calibri"/>
                <w:sz w:val="24"/>
                <w:szCs w:val="24"/>
              </w:rPr>
            </w:pPr>
            <w:r w:rsidRPr="0069672F">
              <w:rPr>
                <w:rFonts w:ascii="Verdana" w:hAnsi="Verdana"/>
                <w:b/>
                <w:i/>
              </w:rPr>
              <w:t>Employer</w:t>
            </w:r>
            <w:r>
              <w:rPr>
                <w:rFonts w:ascii="Verdana" w:hAnsi="Verdana"/>
              </w:rPr>
              <w:t xml:space="preserve"> will</w:t>
            </w:r>
            <w:r w:rsidR="00B36517" w:rsidRPr="009C3C49">
              <w:rPr>
                <w:rFonts w:ascii="Verdana" w:hAnsi="Verdana"/>
              </w:rPr>
              <w:t xml:space="preserve"> not have a general policy of granting early payment of benefits on or after age 50/55 and before age 60 but will consider requests on a case by case basis. </w:t>
            </w:r>
            <w:r w:rsidR="00605D1E" w:rsidRPr="0069672F">
              <w:rPr>
                <w:rFonts w:ascii="Verdana" w:hAnsi="Verdana"/>
                <w:b/>
                <w:i/>
              </w:rPr>
              <w:t>Employer</w:t>
            </w:r>
            <w:r w:rsidR="00605D1E">
              <w:rPr>
                <w:rFonts w:ascii="Verdana" w:hAnsi="Verdana"/>
              </w:rPr>
              <w:t xml:space="preserve"> </w:t>
            </w:r>
            <w:r w:rsidR="00B36517" w:rsidRPr="009C3C49">
              <w:rPr>
                <w:rFonts w:ascii="Verdana" w:hAnsi="Verdana"/>
              </w:rPr>
              <w:t>may exercise this discretion where a sound business case can be made for doing so or where other exceptional circumstances arise that make payment of those benefits justifiable.</w:t>
            </w:r>
          </w:p>
        </w:tc>
      </w:tr>
      <w:tr w:rsidR="00B36517" w:rsidRPr="007C2F5F" w14:paraId="08B4A514" w14:textId="77777777" w:rsidTr="00CD2945">
        <w:tc>
          <w:tcPr>
            <w:tcW w:w="1384" w:type="dxa"/>
          </w:tcPr>
          <w:p w14:paraId="6F74DD47" w14:textId="77777777" w:rsidR="00B36517" w:rsidRPr="007C2F5F" w:rsidRDefault="00B36517">
            <w:pPr>
              <w:rPr>
                <w:rFonts w:ascii="Calibri" w:hAnsi="Calibri"/>
                <w:sz w:val="24"/>
                <w:szCs w:val="24"/>
              </w:rPr>
            </w:pPr>
            <w:r>
              <w:rPr>
                <w:rFonts w:ascii="Calibri" w:hAnsi="Calibri"/>
                <w:sz w:val="24"/>
                <w:szCs w:val="24"/>
              </w:rPr>
              <w:t>30(5)</w:t>
            </w:r>
          </w:p>
        </w:tc>
        <w:tc>
          <w:tcPr>
            <w:tcW w:w="5168" w:type="dxa"/>
          </w:tcPr>
          <w:p w14:paraId="7159EAD2" w14:textId="77777777" w:rsidR="00B36517" w:rsidRPr="007C2F5F" w:rsidRDefault="00B36517" w:rsidP="00A23BB8">
            <w:pPr>
              <w:jc w:val="both"/>
              <w:rPr>
                <w:rFonts w:ascii="Calibri" w:hAnsi="Calibri"/>
                <w:sz w:val="24"/>
                <w:szCs w:val="24"/>
              </w:rPr>
            </w:pPr>
            <w:r w:rsidRPr="008B19A4">
              <w:rPr>
                <w:rFonts w:ascii="Calibri" w:hAnsi="Calibri"/>
                <w:sz w:val="24"/>
                <w:szCs w:val="24"/>
              </w:rPr>
              <w:t>Whether to waive, on compassionate grounds, the actuarial reduction on benefits paid early.</w:t>
            </w:r>
          </w:p>
        </w:tc>
        <w:tc>
          <w:tcPr>
            <w:tcW w:w="3302" w:type="dxa"/>
          </w:tcPr>
          <w:p w14:paraId="21926836" w14:textId="77777777" w:rsidR="00B36517" w:rsidRPr="007C2F5F" w:rsidRDefault="0069672F" w:rsidP="00605D1E">
            <w:pPr>
              <w:jc w:val="both"/>
              <w:rPr>
                <w:rFonts w:ascii="Calibri" w:hAnsi="Calibri"/>
                <w:sz w:val="24"/>
                <w:szCs w:val="24"/>
              </w:rPr>
            </w:pPr>
            <w:r w:rsidRPr="0069672F">
              <w:rPr>
                <w:rFonts w:ascii="Verdana" w:hAnsi="Verdana"/>
                <w:b/>
                <w:i/>
              </w:rPr>
              <w:t>Employer</w:t>
            </w:r>
            <w:r>
              <w:rPr>
                <w:rFonts w:ascii="Verdana" w:hAnsi="Verdana"/>
              </w:rPr>
              <w:t xml:space="preserve"> </w:t>
            </w:r>
            <w:r w:rsidR="00B36517" w:rsidRPr="009C3C49">
              <w:rPr>
                <w:rFonts w:ascii="Verdana" w:hAnsi="Verdana"/>
              </w:rPr>
              <w:t xml:space="preserve">will not generally waive the actuarial reduction applied to benefits paid early under regulation B30(2) above.  </w:t>
            </w:r>
            <w:r w:rsidR="00605D1E" w:rsidRPr="0069672F">
              <w:rPr>
                <w:rFonts w:ascii="Verdana" w:hAnsi="Verdana"/>
                <w:b/>
                <w:i/>
              </w:rPr>
              <w:t>Employer</w:t>
            </w:r>
            <w:r w:rsidR="00605D1E">
              <w:rPr>
                <w:rFonts w:ascii="Verdana" w:hAnsi="Verdana"/>
              </w:rPr>
              <w:t xml:space="preserve"> </w:t>
            </w:r>
            <w:r w:rsidR="00B36517" w:rsidRPr="009C3C49">
              <w:rPr>
                <w:rFonts w:ascii="Verdana" w:hAnsi="Verdana"/>
              </w:rPr>
              <w:t>may consider waiving the actuarial reduction where exercising that discretion can be justified in terms of the sound businesses case made for initially paying those benefits or where other exceptional circumstances arise that make payment of those benefits justifiable. Each case will be considered on its individual merits.</w:t>
            </w:r>
          </w:p>
        </w:tc>
      </w:tr>
      <w:tr w:rsidR="00B36517" w:rsidRPr="007C2F5F" w14:paraId="48B8F5DA" w14:textId="77777777" w:rsidTr="00CD2945">
        <w:tc>
          <w:tcPr>
            <w:tcW w:w="1384" w:type="dxa"/>
          </w:tcPr>
          <w:p w14:paraId="152DB25B" w14:textId="77777777" w:rsidR="00B36517" w:rsidRPr="007C2F5F" w:rsidRDefault="00B36517">
            <w:pPr>
              <w:rPr>
                <w:rFonts w:ascii="Calibri" w:hAnsi="Calibri"/>
                <w:sz w:val="24"/>
                <w:szCs w:val="24"/>
              </w:rPr>
            </w:pPr>
            <w:r w:rsidRPr="008B19A4">
              <w:rPr>
                <w:rFonts w:ascii="Calibri" w:hAnsi="Calibri"/>
                <w:sz w:val="24"/>
                <w:szCs w:val="24"/>
              </w:rPr>
              <w:t>30A(3)</w:t>
            </w:r>
          </w:p>
        </w:tc>
        <w:tc>
          <w:tcPr>
            <w:tcW w:w="5168" w:type="dxa"/>
          </w:tcPr>
          <w:p w14:paraId="1520087B" w14:textId="77777777" w:rsidR="00B36517" w:rsidRPr="008B19A4" w:rsidRDefault="00B36517" w:rsidP="00A23BB8">
            <w:pPr>
              <w:jc w:val="both"/>
              <w:rPr>
                <w:rFonts w:ascii="Calibri" w:hAnsi="Calibri"/>
                <w:sz w:val="24"/>
                <w:szCs w:val="24"/>
              </w:rPr>
            </w:pPr>
            <w:r w:rsidRPr="008B19A4">
              <w:rPr>
                <w:rFonts w:ascii="Calibri" w:hAnsi="Calibri"/>
                <w:sz w:val="24"/>
                <w:szCs w:val="24"/>
              </w:rPr>
              <w:t>Whether to grant application for early payment of benefits to a former member on or after age 50/55 and before age 60</w:t>
            </w:r>
            <w:r>
              <w:rPr>
                <w:rFonts w:ascii="Calibri" w:hAnsi="Calibri"/>
                <w:sz w:val="24"/>
                <w:szCs w:val="24"/>
              </w:rPr>
              <w:t>.</w:t>
            </w:r>
          </w:p>
        </w:tc>
        <w:tc>
          <w:tcPr>
            <w:tcW w:w="3302" w:type="dxa"/>
          </w:tcPr>
          <w:p w14:paraId="08F20BBD" w14:textId="77777777" w:rsidR="00B36517" w:rsidRPr="007C2F5F" w:rsidRDefault="0069672F" w:rsidP="00605D1E">
            <w:pPr>
              <w:jc w:val="both"/>
              <w:rPr>
                <w:rFonts w:ascii="Calibri" w:hAnsi="Calibri"/>
                <w:sz w:val="24"/>
                <w:szCs w:val="24"/>
              </w:rPr>
            </w:pPr>
            <w:r w:rsidRPr="0069672F">
              <w:rPr>
                <w:rFonts w:ascii="Verdana" w:hAnsi="Verdana"/>
                <w:b/>
                <w:i/>
              </w:rPr>
              <w:t>Employer</w:t>
            </w:r>
            <w:r>
              <w:rPr>
                <w:rFonts w:ascii="Verdana" w:hAnsi="Verdana"/>
              </w:rPr>
              <w:t xml:space="preserve"> </w:t>
            </w:r>
            <w:r w:rsidR="00B36517" w:rsidRPr="009C3C49">
              <w:rPr>
                <w:rFonts w:ascii="Verdana" w:hAnsi="Verdana"/>
              </w:rPr>
              <w:t xml:space="preserve">will not have a general policy of granting early payment of benefits on or after age 50/55 and before age 60 but will consider requests on a case by case basis. </w:t>
            </w:r>
            <w:r w:rsidR="00605D1E" w:rsidRPr="0069672F">
              <w:rPr>
                <w:rFonts w:ascii="Verdana" w:hAnsi="Verdana"/>
                <w:b/>
                <w:i/>
              </w:rPr>
              <w:t>Employer</w:t>
            </w:r>
            <w:r w:rsidR="00605D1E">
              <w:rPr>
                <w:rFonts w:ascii="Verdana" w:hAnsi="Verdana"/>
              </w:rPr>
              <w:t xml:space="preserve"> </w:t>
            </w:r>
            <w:r w:rsidR="00B36517" w:rsidRPr="009C3C49">
              <w:rPr>
                <w:rFonts w:ascii="Verdana" w:hAnsi="Verdana"/>
              </w:rPr>
              <w:t>may exercise this discretion where a sound business case can be made for doing so or where other exceptional circumstances arise that make payment of those benefits justifiable.</w:t>
            </w:r>
          </w:p>
        </w:tc>
      </w:tr>
      <w:tr w:rsidR="00B36517" w:rsidRPr="007C2F5F" w14:paraId="2629D5DF" w14:textId="77777777" w:rsidTr="00CD2945">
        <w:tc>
          <w:tcPr>
            <w:tcW w:w="1384" w:type="dxa"/>
          </w:tcPr>
          <w:p w14:paraId="7ABC7BC4" w14:textId="77777777" w:rsidR="00B36517" w:rsidRPr="008B19A4" w:rsidRDefault="00B36517">
            <w:pPr>
              <w:rPr>
                <w:rFonts w:ascii="Calibri" w:hAnsi="Calibri"/>
                <w:sz w:val="24"/>
                <w:szCs w:val="24"/>
              </w:rPr>
            </w:pPr>
            <w:r w:rsidRPr="008B19A4">
              <w:rPr>
                <w:rFonts w:ascii="Calibri" w:hAnsi="Calibri"/>
                <w:sz w:val="24"/>
                <w:szCs w:val="24"/>
              </w:rPr>
              <w:t>30A(5)</w:t>
            </w:r>
          </w:p>
        </w:tc>
        <w:tc>
          <w:tcPr>
            <w:tcW w:w="5168" w:type="dxa"/>
          </w:tcPr>
          <w:p w14:paraId="2BE50AA9" w14:textId="77777777" w:rsidR="00B36517" w:rsidRPr="008B19A4" w:rsidRDefault="00B36517" w:rsidP="00A23BB8">
            <w:pPr>
              <w:jc w:val="both"/>
              <w:rPr>
                <w:rFonts w:ascii="Calibri" w:hAnsi="Calibri"/>
                <w:sz w:val="24"/>
                <w:szCs w:val="24"/>
              </w:rPr>
            </w:pPr>
            <w:r w:rsidRPr="008B19A4">
              <w:rPr>
                <w:rFonts w:ascii="Calibri" w:hAnsi="Calibri"/>
                <w:sz w:val="24"/>
                <w:szCs w:val="24"/>
              </w:rPr>
              <w:t>Whether to waive, on compassionate grounds, the actuarial reduction on benefits paid early.</w:t>
            </w:r>
          </w:p>
        </w:tc>
        <w:tc>
          <w:tcPr>
            <w:tcW w:w="3302" w:type="dxa"/>
          </w:tcPr>
          <w:p w14:paraId="0CD6C3FF" w14:textId="77777777" w:rsidR="00B36517" w:rsidRPr="007C2F5F" w:rsidRDefault="0069672F" w:rsidP="00605D1E">
            <w:pPr>
              <w:jc w:val="both"/>
              <w:rPr>
                <w:rFonts w:ascii="Calibri" w:hAnsi="Calibri"/>
                <w:sz w:val="24"/>
                <w:szCs w:val="24"/>
              </w:rPr>
            </w:pPr>
            <w:r w:rsidRPr="0069672F">
              <w:rPr>
                <w:rFonts w:ascii="Verdana" w:hAnsi="Verdana"/>
                <w:b/>
                <w:i/>
              </w:rPr>
              <w:t>Employer</w:t>
            </w:r>
            <w:r>
              <w:rPr>
                <w:rFonts w:ascii="Verdana" w:hAnsi="Verdana"/>
              </w:rPr>
              <w:t xml:space="preserve"> </w:t>
            </w:r>
            <w:r w:rsidR="00B36517" w:rsidRPr="009C3C49">
              <w:rPr>
                <w:rFonts w:ascii="Verdana" w:hAnsi="Verdana"/>
              </w:rPr>
              <w:t>will not generally waive the actuarial reduction applied to benefits paid early under regulation B30</w:t>
            </w:r>
            <w:r w:rsidR="00605D1E">
              <w:rPr>
                <w:rFonts w:ascii="Verdana" w:hAnsi="Verdana"/>
              </w:rPr>
              <w:t>A</w:t>
            </w:r>
            <w:r w:rsidR="00B36517" w:rsidRPr="009C3C49">
              <w:rPr>
                <w:rFonts w:ascii="Verdana" w:hAnsi="Verdana"/>
              </w:rPr>
              <w:t>(</w:t>
            </w:r>
            <w:r w:rsidR="00605D1E">
              <w:rPr>
                <w:rFonts w:ascii="Verdana" w:hAnsi="Verdana"/>
              </w:rPr>
              <w:t>5</w:t>
            </w:r>
            <w:r w:rsidR="00B36517" w:rsidRPr="009C3C49">
              <w:rPr>
                <w:rFonts w:ascii="Verdana" w:hAnsi="Verdana"/>
              </w:rPr>
              <w:t xml:space="preserve">) above.  </w:t>
            </w:r>
            <w:r w:rsidR="00605D1E" w:rsidRPr="0069672F">
              <w:rPr>
                <w:rFonts w:ascii="Verdana" w:hAnsi="Verdana"/>
                <w:b/>
                <w:i/>
              </w:rPr>
              <w:t>Employer</w:t>
            </w:r>
            <w:r w:rsidR="00605D1E">
              <w:rPr>
                <w:rFonts w:ascii="Verdana" w:hAnsi="Verdana"/>
              </w:rPr>
              <w:t xml:space="preserve"> m</w:t>
            </w:r>
            <w:r w:rsidR="00B36517" w:rsidRPr="009C3C49">
              <w:rPr>
                <w:rFonts w:ascii="Verdana" w:hAnsi="Verdana"/>
              </w:rPr>
              <w:t xml:space="preserve">ay consider waiving the actuarial reduction where exercising </w:t>
            </w:r>
            <w:r w:rsidR="00B36517" w:rsidRPr="009C3C49">
              <w:rPr>
                <w:rFonts w:ascii="Verdana" w:hAnsi="Verdana"/>
              </w:rPr>
              <w:lastRenderedPageBreak/>
              <w:t>that discretion can be justified in terms of the sound businesses case made for initially paying those benefits or where other exceptional circumstances arise that make payment of those benefits justifiable. Each case will be considered on its individual merits.</w:t>
            </w:r>
          </w:p>
        </w:tc>
      </w:tr>
    </w:tbl>
    <w:p w14:paraId="2DFE8363" w14:textId="77777777" w:rsidR="00B36517" w:rsidRDefault="00B36517">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168"/>
        <w:gridCol w:w="3302"/>
      </w:tblGrid>
      <w:tr w:rsidR="00B36517" w:rsidRPr="007C2F5F" w14:paraId="4C567155" w14:textId="77777777" w:rsidTr="009D7710">
        <w:tc>
          <w:tcPr>
            <w:tcW w:w="9854" w:type="dxa"/>
            <w:gridSpan w:val="3"/>
          </w:tcPr>
          <w:p w14:paraId="1803295C" w14:textId="77777777" w:rsidR="00B36517" w:rsidRPr="00A749D6" w:rsidRDefault="00B36517" w:rsidP="009D7710">
            <w:pPr>
              <w:jc w:val="center"/>
              <w:rPr>
                <w:rFonts w:ascii="Calibri" w:hAnsi="Calibri"/>
                <w:b/>
                <w:sz w:val="24"/>
                <w:szCs w:val="24"/>
                <w:u w:val="single"/>
              </w:rPr>
            </w:pPr>
            <w:r w:rsidRPr="00A749D6">
              <w:rPr>
                <w:rFonts w:ascii="Calibri" w:hAnsi="Calibri"/>
                <w:b/>
                <w:sz w:val="24"/>
                <w:szCs w:val="24"/>
                <w:u w:val="single"/>
              </w:rPr>
              <w:t>The Local Government (Early Termination of Employment) (Discretionary Compensation) (England and Wales) Regulations 2006</w:t>
            </w:r>
          </w:p>
        </w:tc>
      </w:tr>
      <w:tr w:rsidR="00B36517" w:rsidRPr="007C2F5F" w14:paraId="51316DF0" w14:textId="77777777" w:rsidTr="009D7710">
        <w:tc>
          <w:tcPr>
            <w:tcW w:w="9854" w:type="dxa"/>
            <w:gridSpan w:val="3"/>
          </w:tcPr>
          <w:p w14:paraId="2B46AB96" w14:textId="77777777" w:rsidR="00B36517" w:rsidRPr="007C2F5F" w:rsidRDefault="00B36517" w:rsidP="00A23BB8">
            <w:pPr>
              <w:jc w:val="both"/>
              <w:rPr>
                <w:rFonts w:ascii="Calibri" w:hAnsi="Calibri"/>
                <w:sz w:val="24"/>
                <w:szCs w:val="24"/>
              </w:rPr>
            </w:pPr>
            <w:r w:rsidRPr="009D7710">
              <w:rPr>
                <w:rFonts w:ascii="Calibri" w:hAnsi="Calibri"/>
                <w:sz w:val="24"/>
                <w:szCs w:val="24"/>
              </w:rPr>
              <w:t>Each employing authority must formulate, publish and keep under review the policy that they apply in the exercise of their discretionary powers under regulations 5 and 6.</w:t>
            </w:r>
          </w:p>
        </w:tc>
      </w:tr>
      <w:tr w:rsidR="00B36517" w:rsidRPr="007C2F5F" w14:paraId="7F00F764" w14:textId="77777777" w:rsidTr="00CD2945">
        <w:tc>
          <w:tcPr>
            <w:tcW w:w="1384" w:type="dxa"/>
          </w:tcPr>
          <w:p w14:paraId="70535EDC" w14:textId="77777777" w:rsidR="00B36517" w:rsidRPr="007C2F5F" w:rsidRDefault="00B36517" w:rsidP="009D7710">
            <w:pPr>
              <w:rPr>
                <w:rFonts w:ascii="Calibri" w:hAnsi="Calibri"/>
                <w:sz w:val="24"/>
                <w:szCs w:val="24"/>
              </w:rPr>
            </w:pPr>
            <w:r w:rsidRPr="00B86204">
              <w:rPr>
                <w:rFonts w:ascii="Calibri" w:hAnsi="Calibri"/>
                <w:sz w:val="24"/>
                <w:szCs w:val="24"/>
              </w:rPr>
              <w:t>5</w:t>
            </w:r>
          </w:p>
        </w:tc>
        <w:tc>
          <w:tcPr>
            <w:tcW w:w="5168" w:type="dxa"/>
          </w:tcPr>
          <w:p w14:paraId="496B137C" w14:textId="77777777" w:rsidR="00B36517" w:rsidRPr="009D7710" w:rsidRDefault="00B36517" w:rsidP="00A23BB8">
            <w:pPr>
              <w:jc w:val="both"/>
              <w:rPr>
                <w:rFonts w:ascii="Calibri" w:hAnsi="Calibri" w:cs="Arial"/>
                <w:color w:val="000000"/>
                <w:sz w:val="24"/>
                <w:szCs w:val="24"/>
              </w:rPr>
            </w:pPr>
            <w:r>
              <w:rPr>
                <w:rFonts w:ascii="Calibri" w:hAnsi="Calibri" w:cs="Arial"/>
                <w:color w:val="000000"/>
                <w:sz w:val="24"/>
                <w:szCs w:val="24"/>
              </w:rPr>
              <w:t>G</w:t>
            </w:r>
            <w:r w:rsidRPr="00B86204">
              <w:rPr>
                <w:rFonts w:ascii="Calibri" w:hAnsi="Calibri" w:cs="Arial"/>
                <w:color w:val="000000"/>
                <w:sz w:val="24"/>
                <w:szCs w:val="24"/>
              </w:rPr>
              <w:t>ives a power to increase a redundancy payment made under the Employment Rights Act 1996.</w:t>
            </w:r>
          </w:p>
        </w:tc>
        <w:tc>
          <w:tcPr>
            <w:tcW w:w="3302" w:type="dxa"/>
          </w:tcPr>
          <w:p w14:paraId="2BD755BD" w14:textId="77777777" w:rsidR="00B36517" w:rsidRPr="008B19A4" w:rsidRDefault="0069672F" w:rsidP="004E6D39">
            <w:pPr>
              <w:jc w:val="both"/>
              <w:rPr>
                <w:rFonts w:ascii="Calibri" w:hAnsi="Calibri"/>
                <w:sz w:val="24"/>
                <w:szCs w:val="24"/>
              </w:rPr>
            </w:pPr>
            <w:r w:rsidRPr="0069672F">
              <w:rPr>
                <w:rFonts w:ascii="Verdana" w:hAnsi="Verdana"/>
                <w:b/>
                <w:i/>
              </w:rPr>
              <w:t>Employer</w:t>
            </w:r>
            <w:r>
              <w:rPr>
                <w:rFonts w:ascii="Verdana" w:hAnsi="Verdana"/>
              </w:rPr>
              <w:t xml:space="preserve"> </w:t>
            </w:r>
            <w:r w:rsidR="00B36517" w:rsidRPr="009C3C49">
              <w:rPr>
                <w:rFonts w:ascii="Verdana" w:hAnsi="Verdana"/>
              </w:rPr>
              <w:t>will not generally increase statutory redundancy payments above statutory weekly pay limit.</w:t>
            </w:r>
          </w:p>
        </w:tc>
      </w:tr>
      <w:tr w:rsidR="00B36517" w:rsidRPr="007C2F5F" w14:paraId="778D103B" w14:textId="77777777" w:rsidTr="00CD2945">
        <w:tc>
          <w:tcPr>
            <w:tcW w:w="1384" w:type="dxa"/>
          </w:tcPr>
          <w:p w14:paraId="631FBF52" w14:textId="77777777" w:rsidR="00B36517" w:rsidRPr="00B86204" w:rsidRDefault="00B36517" w:rsidP="009D7710">
            <w:pPr>
              <w:rPr>
                <w:rFonts w:ascii="Calibri" w:hAnsi="Calibri"/>
                <w:sz w:val="24"/>
                <w:szCs w:val="24"/>
              </w:rPr>
            </w:pPr>
            <w:r w:rsidRPr="00B86204">
              <w:rPr>
                <w:rFonts w:ascii="Calibri" w:hAnsi="Calibri"/>
                <w:sz w:val="24"/>
                <w:szCs w:val="24"/>
              </w:rPr>
              <w:t>6</w:t>
            </w:r>
          </w:p>
        </w:tc>
        <w:tc>
          <w:tcPr>
            <w:tcW w:w="5168" w:type="dxa"/>
          </w:tcPr>
          <w:p w14:paraId="53FBA0B4" w14:textId="77777777" w:rsidR="00B36517" w:rsidRPr="00B86204" w:rsidRDefault="00B36517" w:rsidP="00A23BB8">
            <w:pPr>
              <w:jc w:val="both"/>
              <w:rPr>
                <w:rFonts w:ascii="Calibri" w:hAnsi="Calibri" w:cs="Arial"/>
                <w:color w:val="000000"/>
                <w:sz w:val="24"/>
                <w:szCs w:val="24"/>
              </w:rPr>
            </w:pPr>
            <w:r>
              <w:rPr>
                <w:rFonts w:ascii="Calibri" w:hAnsi="Calibri" w:cs="Arial"/>
                <w:color w:val="000000"/>
                <w:sz w:val="24"/>
                <w:szCs w:val="24"/>
              </w:rPr>
              <w:t>A</w:t>
            </w:r>
            <w:r w:rsidRPr="00B86204">
              <w:rPr>
                <w:rFonts w:ascii="Calibri" w:hAnsi="Calibri" w:cs="Arial"/>
                <w:color w:val="000000"/>
                <w:sz w:val="24"/>
                <w:szCs w:val="24"/>
              </w:rPr>
              <w:t>llows an employer to award compensation in the form of a lump sum of an amount that must not exceed 104 weeks' pay. The regulation sets out the basis for calculating a week's pay for an individual.</w:t>
            </w:r>
          </w:p>
        </w:tc>
        <w:tc>
          <w:tcPr>
            <w:tcW w:w="3302" w:type="dxa"/>
          </w:tcPr>
          <w:p w14:paraId="7750F327" w14:textId="77777777" w:rsidR="00B36517" w:rsidRPr="008B19A4" w:rsidRDefault="0069672F" w:rsidP="004E6D39">
            <w:pPr>
              <w:jc w:val="both"/>
              <w:rPr>
                <w:rFonts w:ascii="Calibri" w:hAnsi="Calibri"/>
                <w:sz w:val="24"/>
                <w:szCs w:val="24"/>
              </w:rPr>
            </w:pPr>
            <w:r w:rsidRPr="0069672F">
              <w:rPr>
                <w:rFonts w:ascii="Verdana" w:hAnsi="Verdana"/>
                <w:b/>
                <w:i/>
              </w:rPr>
              <w:t>Employer</w:t>
            </w:r>
            <w:r>
              <w:rPr>
                <w:rFonts w:ascii="Verdana" w:hAnsi="Verdana"/>
              </w:rPr>
              <w:t xml:space="preserve"> </w:t>
            </w:r>
            <w:r w:rsidR="00B36517" w:rsidRPr="009C3C49">
              <w:rPr>
                <w:rFonts w:ascii="Verdana" w:hAnsi="Verdana"/>
              </w:rPr>
              <w:t>will not generally award up to 104 weeks compensation instead of compensatory added years.</w:t>
            </w:r>
          </w:p>
        </w:tc>
      </w:tr>
    </w:tbl>
    <w:p w14:paraId="79B4AB61" w14:textId="77777777" w:rsidR="00B36517" w:rsidRDefault="00B36517">
      <w:pPr>
        <w:rPr>
          <w:rFonts w:ascii="Calibri" w:hAnsi="Calibri"/>
          <w:sz w:val="24"/>
          <w:szCs w:val="24"/>
        </w:rPr>
      </w:pPr>
    </w:p>
    <w:p w14:paraId="231FA37F" w14:textId="77777777" w:rsidR="00B36517" w:rsidRDefault="00B36517">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168"/>
        <w:gridCol w:w="3302"/>
      </w:tblGrid>
      <w:tr w:rsidR="00B36517" w:rsidRPr="007C2F5F" w14:paraId="3C35CDAF" w14:textId="77777777" w:rsidTr="006A32D3">
        <w:tc>
          <w:tcPr>
            <w:tcW w:w="9854" w:type="dxa"/>
            <w:gridSpan w:val="3"/>
          </w:tcPr>
          <w:p w14:paraId="0FD01156" w14:textId="77777777" w:rsidR="00B36517" w:rsidRPr="00A749D6" w:rsidRDefault="00B36517" w:rsidP="006A32D3">
            <w:pPr>
              <w:jc w:val="center"/>
              <w:rPr>
                <w:rFonts w:ascii="Calibri" w:hAnsi="Calibri"/>
                <w:b/>
                <w:sz w:val="24"/>
                <w:szCs w:val="24"/>
                <w:u w:val="single"/>
              </w:rPr>
            </w:pPr>
            <w:r w:rsidRPr="00A749D6">
              <w:rPr>
                <w:rFonts w:ascii="Calibri" w:hAnsi="Calibri"/>
                <w:b/>
                <w:sz w:val="24"/>
                <w:szCs w:val="24"/>
                <w:u w:val="single"/>
              </w:rPr>
              <w:t>the Local Government (Discretionary Payments)(Injury Allowances) Regulations 2011</w:t>
            </w:r>
          </w:p>
        </w:tc>
      </w:tr>
      <w:tr w:rsidR="00B36517" w:rsidRPr="007C2F5F" w14:paraId="6E8DC3BB" w14:textId="77777777" w:rsidTr="006A32D3">
        <w:tc>
          <w:tcPr>
            <w:tcW w:w="1384" w:type="dxa"/>
          </w:tcPr>
          <w:p w14:paraId="77208A50" w14:textId="77777777" w:rsidR="00B36517" w:rsidRPr="007C2F5F" w:rsidRDefault="00B36517" w:rsidP="006A32D3">
            <w:pPr>
              <w:rPr>
                <w:rFonts w:ascii="Calibri" w:hAnsi="Calibri"/>
                <w:sz w:val="24"/>
                <w:szCs w:val="24"/>
              </w:rPr>
            </w:pPr>
            <w:r>
              <w:rPr>
                <w:rFonts w:ascii="Calibri" w:hAnsi="Calibri"/>
                <w:sz w:val="24"/>
                <w:szCs w:val="24"/>
              </w:rPr>
              <w:t>14</w:t>
            </w:r>
          </w:p>
        </w:tc>
        <w:tc>
          <w:tcPr>
            <w:tcW w:w="5168" w:type="dxa"/>
          </w:tcPr>
          <w:p w14:paraId="366713CD" w14:textId="77777777" w:rsidR="00B36517" w:rsidRPr="007C2F5F" w:rsidRDefault="00B36517" w:rsidP="006A32D3">
            <w:pPr>
              <w:jc w:val="both"/>
              <w:rPr>
                <w:rFonts w:ascii="Calibri" w:hAnsi="Calibri"/>
                <w:sz w:val="24"/>
                <w:szCs w:val="24"/>
              </w:rPr>
            </w:pPr>
            <w:r w:rsidRPr="00454D07">
              <w:rPr>
                <w:rFonts w:ascii="Calibri" w:hAnsi="Calibri"/>
                <w:sz w:val="24"/>
                <w:szCs w:val="24"/>
              </w:rPr>
              <w:t>An LGPS employer must formulate, publish and keep under review the policy that it applies in the exercise of its discretionary powers to make any award under these Regulations.</w:t>
            </w:r>
          </w:p>
        </w:tc>
        <w:tc>
          <w:tcPr>
            <w:tcW w:w="3302" w:type="dxa"/>
          </w:tcPr>
          <w:p w14:paraId="2B6F7950" w14:textId="77777777" w:rsidR="00B36517" w:rsidRPr="008B19A4" w:rsidRDefault="0069672F" w:rsidP="00605D1E">
            <w:pPr>
              <w:jc w:val="both"/>
              <w:rPr>
                <w:rFonts w:ascii="Calibri" w:hAnsi="Calibri"/>
                <w:sz w:val="24"/>
                <w:szCs w:val="24"/>
              </w:rPr>
            </w:pPr>
            <w:r w:rsidRPr="0069672F">
              <w:rPr>
                <w:rFonts w:ascii="Verdana" w:hAnsi="Verdana"/>
                <w:b/>
                <w:i/>
              </w:rPr>
              <w:t>Employer</w:t>
            </w:r>
            <w:r w:rsidRPr="00DD5D3E">
              <w:rPr>
                <w:rStyle w:val="PlaceholderText"/>
                <w:color w:val="auto"/>
              </w:rPr>
              <w:t xml:space="preserve"> </w:t>
            </w:r>
            <w:r w:rsidR="00B36517" w:rsidRPr="0069672F">
              <w:rPr>
                <w:rStyle w:val="PlaceholderText"/>
                <w:rFonts w:ascii="Verdana" w:hAnsi="Verdana"/>
                <w:color w:val="auto"/>
              </w:rPr>
              <w:t xml:space="preserve">will </w:t>
            </w:r>
            <w:r w:rsidR="00605D1E">
              <w:rPr>
                <w:rStyle w:val="PlaceholderText"/>
                <w:rFonts w:ascii="Verdana" w:hAnsi="Verdana"/>
                <w:color w:val="auto"/>
              </w:rPr>
              <w:t>not exercise this discretion.</w:t>
            </w:r>
          </w:p>
        </w:tc>
      </w:tr>
      <w:tr w:rsidR="00B36517" w:rsidRPr="007C2F5F" w14:paraId="03111A3E" w14:textId="77777777" w:rsidTr="006A32D3">
        <w:tc>
          <w:tcPr>
            <w:tcW w:w="9854" w:type="dxa"/>
            <w:gridSpan w:val="3"/>
          </w:tcPr>
          <w:p w14:paraId="4F9ADCB0" w14:textId="77777777" w:rsidR="00B36517" w:rsidRPr="00454D07" w:rsidRDefault="00B36517" w:rsidP="00A749D6">
            <w:pPr>
              <w:rPr>
                <w:rFonts w:ascii="Calibri" w:hAnsi="Calibri"/>
                <w:i/>
                <w:sz w:val="24"/>
                <w:szCs w:val="24"/>
              </w:rPr>
            </w:pPr>
            <w:r>
              <w:rPr>
                <w:rFonts w:ascii="Calibri" w:hAnsi="Calibri"/>
                <w:i/>
                <w:sz w:val="24"/>
                <w:szCs w:val="24"/>
              </w:rPr>
              <w:t>The above Regulation does not apply to Admitted Bodies</w:t>
            </w:r>
          </w:p>
        </w:tc>
      </w:tr>
    </w:tbl>
    <w:p w14:paraId="422868E2" w14:textId="77777777" w:rsidR="00B36517" w:rsidRDefault="00B36517">
      <w:pPr>
        <w:rPr>
          <w:rFonts w:ascii="Calibri" w:hAnsi="Calibri"/>
          <w:sz w:val="24"/>
          <w:szCs w:val="24"/>
        </w:rPr>
      </w:pPr>
    </w:p>
    <w:p w14:paraId="234C6DF6" w14:textId="77777777" w:rsidR="00B36517" w:rsidRDefault="00B36517">
      <w:pPr>
        <w:rPr>
          <w:rFonts w:ascii="Calibri" w:hAnsi="Calibri"/>
          <w:sz w:val="24"/>
          <w:szCs w:val="24"/>
        </w:rPr>
      </w:pPr>
    </w:p>
    <w:p w14:paraId="46234844" w14:textId="77777777" w:rsidR="00B36517" w:rsidRPr="00EF7900" w:rsidRDefault="00B36517" w:rsidP="00EF7900">
      <w:pPr>
        <w:jc w:val="both"/>
        <w:rPr>
          <w:rFonts w:ascii="Calibri" w:hAnsi="Calibri"/>
          <w:bCs/>
          <w:sz w:val="24"/>
          <w:szCs w:val="24"/>
        </w:rPr>
      </w:pPr>
      <w:r w:rsidRPr="00EF7900">
        <w:rPr>
          <w:rFonts w:ascii="Calibri" w:hAnsi="Calibri"/>
          <w:sz w:val="24"/>
          <w:szCs w:val="24"/>
        </w:rPr>
        <w:t xml:space="preserve">Whilst </w:t>
      </w:r>
      <w:r w:rsidRPr="00EF7900">
        <w:rPr>
          <w:rFonts w:ascii="Calibri" w:hAnsi="Calibri"/>
          <w:bCs/>
          <w:sz w:val="24"/>
          <w:szCs w:val="24"/>
        </w:rPr>
        <w:t>employer</w:t>
      </w:r>
      <w:r>
        <w:rPr>
          <w:rFonts w:ascii="Calibri" w:hAnsi="Calibri"/>
          <w:bCs/>
          <w:sz w:val="24"/>
          <w:szCs w:val="24"/>
        </w:rPr>
        <w:t>s</w:t>
      </w:r>
      <w:r w:rsidRPr="00EF7900">
        <w:rPr>
          <w:rFonts w:ascii="Calibri" w:hAnsi="Calibri"/>
          <w:bCs/>
          <w:sz w:val="24"/>
          <w:szCs w:val="24"/>
        </w:rPr>
        <w:t xml:space="preserve"> </w:t>
      </w:r>
      <w:r>
        <w:rPr>
          <w:rFonts w:ascii="Calibri" w:hAnsi="Calibri"/>
          <w:bCs/>
          <w:sz w:val="24"/>
          <w:szCs w:val="24"/>
        </w:rPr>
        <w:t xml:space="preserve">are not </w:t>
      </w:r>
      <w:r w:rsidRPr="00EF7900">
        <w:rPr>
          <w:rFonts w:ascii="Calibri" w:hAnsi="Calibri"/>
          <w:bCs/>
          <w:sz w:val="24"/>
          <w:szCs w:val="24"/>
        </w:rPr>
        <w:t>required to have a policy statement under the regulations</w:t>
      </w:r>
      <w:r>
        <w:rPr>
          <w:rFonts w:ascii="Calibri" w:hAnsi="Calibri"/>
          <w:bCs/>
          <w:sz w:val="24"/>
          <w:szCs w:val="24"/>
        </w:rPr>
        <w:t xml:space="preserve"> for the following discretions they may wish to take them into consideration during this exercise.  </w:t>
      </w:r>
    </w:p>
    <w:p w14:paraId="529820A2" w14:textId="77777777" w:rsidR="00B36517" w:rsidRDefault="00B36517">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168"/>
        <w:gridCol w:w="3302"/>
      </w:tblGrid>
      <w:tr w:rsidR="00B36517" w:rsidRPr="007C2F5F" w14:paraId="059CFF25" w14:textId="77777777" w:rsidTr="000C4180">
        <w:tc>
          <w:tcPr>
            <w:tcW w:w="9854" w:type="dxa"/>
            <w:gridSpan w:val="3"/>
          </w:tcPr>
          <w:p w14:paraId="3128CF14" w14:textId="77777777" w:rsidR="00B36517" w:rsidRPr="00A749D6" w:rsidRDefault="00B36517" w:rsidP="000C4180">
            <w:pPr>
              <w:jc w:val="center"/>
              <w:rPr>
                <w:rFonts w:ascii="Calibri" w:hAnsi="Calibri"/>
                <w:b/>
                <w:sz w:val="24"/>
                <w:szCs w:val="24"/>
                <w:u w:val="single"/>
              </w:rPr>
            </w:pPr>
            <w:r w:rsidRPr="00A749D6">
              <w:rPr>
                <w:rFonts w:ascii="Calibri" w:hAnsi="Calibri"/>
                <w:b/>
                <w:sz w:val="24"/>
                <w:szCs w:val="24"/>
                <w:u w:val="single"/>
              </w:rPr>
              <w:t>The Local Government Pension Scheme (Administration) Regulations 2008 as amended</w:t>
            </w:r>
          </w:p>
        </w:tc>
      </w:tr>
      <w:tr w:rsidR="00B36517" w:rsidRPr="007C2F5F" w14:paraId="039882E9" w14:textId="77777777" w:rsidTr="000C4180">
        <w:tc>
          <w:tcPr>
            <w:tcW w:w="1384" w:type="dxa"/>
          </w:tcPr>
          <w:p w14:paraId="72F4EFDA" w14:textId="77777777" w:rsidR="00B36517" w:rsidRPr="007C2F5F" w:rsidRDefault="00B36517" w:rsidP="000C4180">
            <w:pPr>
              <w:rPr>
                <w:rFonts w:ascii="Calibri" w:hAnsi="Calibri"/>
                <w:sz w:val="24"/>
                <w:szCs w:val="24"/>
              </w:rPr>
            </w:pPr>
            <w:r w:rsidRPr="009D7710">
              <w:rPr>
                <w:rFonts w:ascii="Calibri" w:hAnsi="Calibri"/>
                <w:sz w:val="24"/>
                <w:szCs w:val="24"/>
              </w:rPr>
              <w:t>16(4)(ii)</w:t>
            </w:r>
          </w:p>
        </w:tc>
        <w:tc>
          <w:tcPr>
            <w:tcW w:w="5168" w:type="dxa"/>
          </w:tcPr>
          <w:p w14:paraId="39A26DFD" w14:textId="77777777" w:rsidR="00B36517" w:rsidRPr="007C2F5F" w:rsidRDefault="00B36517" w:rsidP="000C4180">
            <w:pPr>
              <w:jc w:val="both"/>
              <w:rPr>
                <w:rFonts w:ascii="Calibri" w:hAnsi="Calibri"/>
                <w:sz w:val="24"/>
                <w:szCs w:val="24"/>
              </w:rPr>
            </w:pPr>
            <w:r w:rsidRPr="009D7710">
              <w:rPr>
                <w:rFonts w:ascii="Calibri" w:hAnsi="Calibri"/>
                <w:sz w:val="24"/>
                <w:szCs w:val="24"/>
              </w:rPr>
              <w:t>Whether to extend the 12 month option period for aggregation of deferred benefits</w:t>
            </w:r>
            <w:r>
              <w:rPr>
                <w:rFonts w:ascii="Calibri" w:hAnsi="Calibri"/>
                <w:sz w:val="24"/>
                <w:szCs w:val="24"/>
              </w:rPr>
              <w:t>.</w:t>
            </w:r>
          </w:p>
        </w:tc>
        <w:tc>
          <w:tcPr>
            <w:tcW w:w="3302" w:type="dxa"/>
          </w:tcPr>
          <w:p w14:paraId="27625D0D" w14:textId="77777777" w:rsidR="00B36517" w:rsidRPr="008B19A4" w:rsidRDefault="0069672F" w:rsidP="004E6D39">
            <w:pPr>
              <w:jc w:val="both"/>
              <w:rPr>
                <w:rFonts w:ascii="Calibri" w:hAnsi="Calibri"/>
                <w:sz w:val="24"/>
                <w:szCs w:val="24"/>
              </w:rPr>
            </w:pPr>
            <w:r w:rsidRPr="0069672F">
              <w:rPr>
                <w:rFonts w:ascii="Verdana" w:hAnsi="Verdana"/>
                <w:b/>
                <w:i/>
              </w:rPr>
              <w:t>Employer</w:t>
            </w:r>
            <w:r>
              <w:rPr>
                <w:rFonts w:ascii="Verdana" w:hAnsi="Verdana"/>
              </w:rPr>
              <w:t xml:space="preserve"> </w:t>
            </w:r>
            <w:r w:rsidRPr="009C3C49">
              <w:rPr>
                <w:rFonts w:ascii="Verdana" w:hAnsi="Verdana"/>
              </w:rPr>
              <w:t>will not generally extend the normal time limit for aggregation</w:t>
            </w:r>
            <w:r w:rsidRPr="009D7710">
              <w:rPr>
                <w:rFonts w:ascii="Calibri" w:hAnsi="Calibri"/>
                <w:sz w:val="24"/>
                <w:szCs w:val="24"/>
              </w:rPr>
              <w:t xml:space="preserve"> of deferred benefits</w:t>
            </w:r>
            <w:r>
              <w:rPr>
                <w:rFonts w:ascii="Calibri" w:hAnsi="Calibri"/>
                <w:sz w:val="24"/>
                <w:szCs w:val="24"/>
              </w:rPr>
              <w:t xml:space="preserve"> </w:t>
            </w:r>
            <w:r w:rsidRPr="009C3C49">
              <w:rPr>
                <w:rFonts w:ascii="Verdana" w:hAnsi="Verdana"/>
              </w:rPr>
              <w:t>beyond 12 months from joining the scheme but may do so where exceptional circumstances can be proved. In any event the maximum extension will be a period of two years from the member’s date of joining the scheme. Each case will be considered on its individual merits</w:t>
            </w:r>
            <w:r>
              <w:rPr>
                <w:rFonts w:ascii="Verdana" w:hAnsi="Verdana"/>
              </w:rPr>
              <w:t>.</w:t>
            </w:r>
          </w:p>
        </w:tc>
      </w:tr>
      <w:tr w:rsidR="00B36517" w:rsidRPr="007C2F5F" w14:paraId="7BA1DE74" w14:textId="77777777" w:rsidTr="000C4180">
        <w:tc>
          <w:tcPr>
            <w:tcW w:w="1384" w:type="dxa"/>
          </w:tcPr>
          <w:p w14:paraId="0CE2C731" w14:textId="77777777" w:rsidR="00B36517" w:rsidRPr="007C2F5F" w:rsidRDefault="00B36517" w:rsidP="000C4180">
            <w:pPr>
              <w:rPr>
                <w:rFonts w:ascii="Calibri" w:hAnsi="Calibri"/>
                <w:sz w:val="24"/>
                <w:szCs w:val="24"/>
              </w:rPr>
            </w:pPr>
            <w:r w:rsidRPr="009D7710">
              <w:rPr>
                <w:rFonts w:ascii="Calibri" w:hAnsi="Calibri"/>
                <w:sz w:val="24"/>
                <w:szCs w:val="24"/>
              </w:rPr>
              <w:t>83(8)</w:t>
            </w:r>
          </w:p>
        </w:tc>
        <w:tc>
          <w:tcPr>
            <w:tcW w:w="5168" w:type="dxa"/>
          </w:tcPr>
          <w:p w14:paraId="73004C29" w14:textId="77777777" w:rsidR="00B36517" w:rsidRPr="009D7710" w:rsidRDefault="00B36517" w:rsidP="000C4180">
            <w:pPr>
              <w:jc w:val="both"/>
              <w:rPr>
                <w:rFonts w:ascii="Calibri" w:hAnsi="Calibri" w:cs="Arial"/>
                <w:color w:val="000000"/>
                <w:sz w:val="24"/>
                <w:szCs w:val="24"/>
              </w:rPr>
            </w:pPr>
            <w:r w:rsidRPr="009D7710">
              <w:rPr>
                <w:rFonts w:ascii="Calibri" w:hAnsi="Calibri" w:cs="Arial"/>
                <w:color w:val="000000"/>
                <w:sz w:val="24"/>
                <w:szCs w:val="24"/>
              </w:rPr>
              <w:t>Whether to extend the normal time limit for acceptance of a transfer value beyond 12 months from joining the LGPS</w:t>
            </w:r>
            <w:r>
              <w:rPr>
                <w:rFonts w:ascii="Calibri" w:hAnsi="Calibri" w:cs="Arial"/>
                <w:color w:val="000000"/>
                <w:sz w:val="24"/>
                <w:szCs w:val="24"/>
              </w:rPr>
              <w:t>.</w:t>
            </w:r>
          </w:p>
        </w:tc>
        <w:tc>
          <w:tcPr>
            <w:tcW w:w="3302" w:type="dxa"/>
          </w:tcPr>
          <w:p w14:paraId="6D76A4EC" w14:textId="77777777" w:rsidR="00B36517" w:rsidRPr="008B19A4" w:rsidRDefault="0069672F" w:rsidP="004E6D39">
            <w:pPr>
              <w:jc w:val="both"/>
              <w:rPr>
                <w:rFonts w:ascii="Calibri" w:hAnsi="Calibri"/>
                <w:sz w:val="24"/>
                <w:szCs w:val="24"/>
              </w:rPr>
            </w:pPr>
            <w:r w:rsidRPr="0069672F">
              <w:rPr>
                <w:rFonts w:ascii="Verdana" w:hAnsi="Verdana"/>
                <w:b/>
                <w:i/>
              </w:rPr>
              <w:t>Employer</w:t>
            </w:r>
            <w:r>
              <w:rPr>
                <w:rFonts w:ascii="Verdana" w:hAnsi="Verdana"/>
              </w:rPr>
              <w:t xml:space="preserve"> </w:t>
            </w:r>
            <w:r w:rsidR="00B36517" w:rsidRPr="009C3C49">
              <w:rPr>
                <w:rFonts w:ascii="Verdana" w:hAnsi="Verdana"/>
              </w:rPr>
              <w:t xml:space="preserve">will not generally extend the normal time limit for acceptance of a transfer value beyond 12 months from </w:t>
            </w:r>
            <w:r w:rsidR="00B36517" w:rsidRPr="009C3C49">
              <w:rPr>
                <w:rFonts w:ascii="Verdana" w:hAnsi="Verdana"/>
              </w:rPr>
              <w:lastRenderedPageBreak/>
              <w:t>joining the scheme but may do so where exceptional circumstances can be proved. In any event the maximum extension will be a period of two years from the member’s date of joining the scheme. Each case will be considered on its individual merits.</w:t>
            </w:r>
          </w:p>
        </w:tc>
      </w:tr>
    </w:tbl>
    <w:p w14:paraId="0BDFF790" w14:textId="77777777" w:rsidR="00B36517" w:rsidRPr="007C2F5F" w:rsidRDefault="00B36517">
      <w:pPr>
        <w:rPr>
          <w:rFonts w:ascii="Calibri" w:hAnsi="Calibri"/>
          <w:sz w:val="24"/>
          <w:szCs w:val="24"/>
        </w:rPr>
      </w:pPr>
    </w:p>
    <w:sectPr w:rsidR="00B36517" w:rsidRPr="007C2F5F" w:rsidSect="00A97B93">
      <w:pgSz w:w="11906" w:h="16838"/>
      <w:pgMar w:top="964" w:right="1134" w:bottom="96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BEEFB" w14:textId="77777777" w:rsidR="00045B3C" w:rsidRDefault="00045B3C" w:rsidP="00735404">
      <w:r>
        <w:separator/>
      </w:r>
    </w:p>
  </w:endnote>
  <w:endnote w:type="continuationSeparator" w:id="0">
    <w:p w14:paraId="703D8968" w14:textId="77777777" w:rsidR="00045B3C" w:rsidRDefault="00045B3C" w:rsidP="0073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CA27B" w14:textId="77777777" w:rsidR="00045B3C" w:rsidRDefault="00045B3C" w:rsidP="00735404">
      <w:r>
        <w:separator/>
      </w:r>
    </w:p>
  </w:footnote>
  <w:footnote w:type="continuationSeparator" w:id="0">
    <w:p w14:paraId="22EE7338" w14:textId="77777777" w:rsidR="00045B3C" w:rsidRDefault="00045B3C" w:rsidP="00735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E55CD"/>
    <w:multiLevelType w:val="hybridMultilevel"/>
    <w:tmpl w:val="E0304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492EC1"/>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932"/>
    <w:rsid w:val="00037086"/>
    <w:rsid w:val="00045B3C"/>
    <w:rsid w:val="00073D2B"/>
    <w:rsid w:val="000C4180"/>
    <w:rsid w:val="00103BB3"/>
    <w:rsid w:val="00105F79"/>
    <w:rsid w:val="00107178"/>
    <w:rsid w:val="0013322F"/>
    <w:rsid w:val="0014347D"/>
    <w:rsid w:val="001437AD"/>
    <w:rsid w:val="00144DE6"/>
    <w:rsid w:val="001D12E5"/>
    <w:rsid w:val="0023581C"/>
    <w:rsid w:val="0023609A"/>
    <w:rsid w:val="002E74CE"/>
    <w:rsid w:val="002F015C"/>
    <w:rsid w:val="00314D4A"/>
    <w:rsid w:val="00326DA1"/>
    <w:rsid w:val="00335032"/>
    <w:rsid w:val="00350BE3"/>
    <w:rsid w:val="00365121"/>
    <w:rsid w:val="00373179"/>
    <w:rsid w:val="003F6E66"/>
    <w:rsid w:val="00400CBA"/>
    <w:rsid w:val="00454D07"/>
    <w:rsid w:val="0046536C"/>
    <w:rsid w:val="004713CE"/>
    <w:rsid w:val="0047784A"/>
    <w:rsid w:val="00485518"/>
    <w:rsid w:val="00486153"/>
    <w:rsid w:val="004A4709"/>
    <w:rsid w:val="004B69EC"/>
    <w:rsid w:val="004E6D39"/>
    <w:rsid w:val="00500CC0"/>
    <w:rsid w:val="005907E8"/>
    <w:rsid w:val="005959E8"/>
    <w:rsid w:val="005B3D4E"/>
    <w:rsid w:val="005B4133"/>
    <w:rsid w:val="005D0297"/>
    <w:rsid w:val="005F5B8B"/>
    <w:rsid w:val="00604B15"/>
    <w:rsid w:val="00605D1E"/>
    <w:rsid w:val="00615F06"/>
    <w:rsid w:val="00672ED1"/>
    <w:rsid w:val="0069672F"/>
    <w:rsid w:val="006A32D3"/>
    <w:rsid w:val="006A5ABD"/>
    <w:rsid w:val="006C3986"/>
    <w:rsid w:val="006D7F4B"/>
    <w:rsid w:val="006E100C"/>
    <w:rsid w:val="00735404"/>
    <w:rsid w:val="007378C8"/>
    <w:rsid w:val="00785DA5"/>
    <w:rsid w:val="007C2F5F"/>
    <w:rsid w:val="007C4210"/>
    <w:rsid w:val="007F7B22"/>
    <w:rsid w:val="008334ED"/>
    <w:rsid w:val="00833B81"/>
    <w:rsid w:val="0085261A"/>
    <w:rsid w:val="00871ECC"/>
    <w:rsid w:val="008A368E"/>
    <w:rsid w:val="008B19A4"/>
    <w:rsid w:val="008C7EBD"/>
    <w:rsid w:val="008F1695"/>
    <w:rsid w:val="00926D92"/>
    <w:rsid w:val="009379C1"/>
    <w:rsid w:val="009465E9"/>
    <w:rsid w:val="00951932"/>
    <w:rsid w:val="009612A0"/>
    <w:rsid w:val="0099221D"/>
    <w:rsid w:val="009B10D1"/>
    <w:rsid w:val="009C3C49"/>
    <w:rsid w:val="009D7710"/>
    <w:rsid w:val="009F4AE1"/>
    <w:rsid w:val="00A23BB8"/>
    <w:rsid w:val="00A749D6"/>
    <w:rsid w:val="00A81607"/>
    <w:rsid w:val="00A907DD"/>
    <w:rsid w:val="00A97B93"/>
    <w:rsid w:val="00AB0712"/>
    <w:rsid w:val="00AB727F"/>
    <w:rsid w:val="00AD52BB"/>
    <w:rsid w:val="00B25533"/>
    <w:rsid w:val="00B36517"/>
    <w:rsid w:val="00B535AD"/>
    <w:rsid w:val="00B86204"/>
    <w:rsid w:val="00B93C4B"/>
    <w:rsid w:val="00BC469C"/>
    <w:rsid w:val="00BD637A"/>
    <w:rsid w:val="00BD690E"/>
    <w:rsid w:val="00BE093F"/>
    <w:rsid w:val="00BF7836"/>
    <w:rsid w:val="00C3787B"/>
    <w:rsid w:val="00C60FCD"/>
    <w:rsid w:val="00C7291C"/>
    <w:rsid w:val="00CD2945"/>
    <w:rsid w:val="00D0530D"/>
    <w:rsid w:val="00D06FEC"/>
    <w:rsid w:val="00D3518E"/>
    <w:rsid w:val="00D62818"/>
    <w:rsid w:val="00D64BC8"/>
    <w:rsid w:val="00D81EFA"/>
    <w:rsid w:val="00DA0E5B"/>
    <w:rsid w:val="00DB6B55"/>
    <w:rsid w:val="00DD3269"/>
    <w:rsid w:val="00DD5D3E"/>
    <w:rsid w:val="00DF0DD3"/>
    <w:rsid w:val="00E23B2C"/>
    <w:rsid w:val="00EF7900"/>
    <w:rsid w:val="00F75982"/>
    <w:rsid w:val="00FC29D1"/>
    <w:rsid w:val="00FD0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5BB16D"/>
  <w15:docId w15:val="{12F9271F-23E2-4A8F-8693-EEE0CE7D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B93"/>
    <w:rPr>
      <w:rFonts w:ascii="Arial" w:hAnsi="Arial"/>
      <w:sz w:val="20"/>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7B93"/>
    <w:pPr>
      <w:tabs>
        <w:tab w:val="center" w:pos="4153"/>
        <w:tab w:val="right" w:pos="8306"/>
      </w:tabs>
    </w:pPr>
    <w:rPr>
      <w:rFonts w:ascii="Times New Roman" w:hAnsi="Times New Roman"/>
      <w:sz w:val="24"/>
      <w:szCs w:val="24"/>
      <w:lang w:val="en-GB" w:eastAsia="en-GB"/>
    </w:rPr>
  </w:style>
  <w:style w:type="character" w:customStyle="1" w:styleId="HeaderChar">
    <w:name w:val="Header Char"/>
    <w:basedOn w:val="DefaultParagraphFont"/>
    <w:link w:val="Header"/>
    <w:uiPriority w:val="99"/>
    <w:semiHidden/>
    <w:locked/>
    <w:rPr>
      <w:rFonts w:ascii="Arial" w:hAnsi="Arial" w:cs="Times New Roman"/>
      <w:sz w:val="20"/>
      <w:szCs w:val="20"/>
      <w:lang w:val="en-AU" w:eastAsia="en-US"/>
    </w:rPr>
  </w:style>
  <w:style w:type="character" w:customStyle="1" w:styleId="style11">
    <w:name w:val="style11"/>
    <w:uiPriority w:val="99"/>
    <w:rsid w:val="00A97B93"/>
    <w:rPr>
      <w:rFonts w:ascii="Arial" w:hAnsi="Arial"/>
    </w:rPr>
  </w:style>
  <w:style w:type="character" w:styleId="CommentReference">
    <w:name w:val="annotation reference"/>
    <w:basedOn w:val="DefaultParagraphFont"/>
    <w:uiPriority w:val="99"/>
    <w:semiHidden/>
    <w:rsid w:val="00AB727F"/>
    <w:rPr>
      <w:rFonts w:cs="Times New Roman"/>
      <w:sz w:val="16"/>
    </w:rPr>
  </w:style>
  <w:style w:type="paragraph" w:styleId="CommentText">
    <w:name w:val="annotation text"/>
    <w:basedOn w:val="Normal"/>
    <w:link w:val="CommentTextChar"/>
    <w:uiPriority w:val="99"/>
    <w:semiHidden/>
    <w:rsid w:val="00AB727F"/>
  </w:style>
  <w:style w:type="character" w:customStyle="1" w:styleId="CommentTextChar">
    <w:name w:val="Comment Text Char"/>
    <w:basedOn w:val="DefaultParagraphFont"/>
    <w:link w:val="CommentText"/>
    <w:uiPriority w:val="99"/>
    <w:semiHidden/>
    <w:locked/>
    <w:rPr>
      <w:rFonts w:ascii="Arial" w:hAnsi="Arial" w:cs="Times New Roman"/>
      <w:sz w:val="20"/>
      <w:szCs w:val="20"/>
      <w:lang w:val="en-AU" w:eastAsia="en-US"/>
    </w:rPr>
  </w:style>
  <w:style w:type="paragraph" w:styleId="CommentSubject">
    <w:name w:val="annotation subject"/>
    <w:basedOn w:val="CommentText"/>
    <w:next w:val="CommentText"/>
    <w:link w:val="CommentSubjectChar"/>
    <w:uiPriority w:val="99"/>
    <w:semiHidden/>
    <w:rsid w:val="00AB727F"/>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lang w:val="en-AU" w:eastAsia="en-US"/>
    </w:rPr>
  </w:style>
  <w:style w:type="paragraph" w:styleId="BalloonText">
    <w:name w:val="Balloon Text"/>
    <w:basedOn w:val="Normal"/>
    <w:link w:val="BalloonTextChar"/>
    <w:uiPriority w:val="99"/>
    <w:semiHidden/>
    <w:rsid w:val="00AB727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AU" w:eastAsia="en-US"/>
    </w:rPr>
  </w:style>
  <w:style w:type="paragraph" w:styleId="Footer">
    <w:name w:val="footer"/>
    <w:basedOn w:val="Normal"/>
    <w:link w:val="FooterChar"/>
    <w:uiPriority w:val="99"/>
    <w:rsid w:val="00735404"/>
    <w:pPr>
      <w:tabs>
        <w:tab w:val="center" w:pos="4513"/>
        <w:tab w:val="right" w:pos="9026"/>
      </w:tabs>
    </w:pPr>
  </w:style>
  <w:style w:type="character" w:customStyle="1" w:styleId="FooterChar">
    <w:name w:val="Footer Char"/>
    <w:basedOn w:val="DefaultParagraphFont"/>
    <w:link w:val="Footer"/>
    <w:uiPriority w:val="99"/>
    <w:locked/>
    <w:rsid w:val="00735404"/>
    <w:rPr>
      <w:rFonts w:ascii="Arial" w:hAnsi="Arial" w:cs="Times New Roman"/>
      <w:lang w:val="en-AU" w:eastAsia="en-US"/>
    </w:rPr>
  </w:style>
  <w:style w:type="table" w:styleId="TableGrid">
    <w:name w:val="Table Grid"/>
    <w:basedOn w:val="TableNormal"/>
    <w:uiPriority w:val="99"/>
    <w:rsid w:val="007C2F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C2F5F"/>
    <w:pPr>
      <w:ind w:left="720"/>
      <w:contextualSpacing/>
    </w:pPr>
  </w:style>
  <w:style w:type="character" w:styleId="PlaceholderText">
    <w:name w:val="Placeholder Text"/>
    <w:basedOn w:val="DefaultParagraphFont"/>
    <w:uiPriority w:val="99"/>
    <w:semiHidden/>
    <w:rsid w:val="0099221D"/>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734369">
      <w:marLeft w:val="0"/>
      <w:marRight w:val="0"/>
      <w:marTop w:val="0"/>
      <w:marBottom w:val="0"/>
      <w:divBdr>
        <w:top w:val="none" w:sz="0" w:space="0" w:color="auto"/>
        <w:left w:val="none" w:sz="0" w:space="0" w:color="auto"/>
        <w:bottom w:val="none" w:sz="0" w:space="0" w:color="auto"/>
        <w:right w:val="none" w:sz="0" w:space="0" w:color="auto"/>
      </w:divBdr>
    </w:div>
    <w:div w:id="1410734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CAR_LIB1\5365038\1</vt:lpstr>
    </vt:vector>
  </TitlesOfParts>
  <Company>Glasgow city Council</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CAR_LIB1\5365038\1</dc:title>
  <dc:creator>EarleS</dc:creator>
  <cp:lastModifiedBy>emmafulham@outlook.com</cp:lastModifiedBy>
  <cp:revision>4</cp:revision>
  <cp:lastPrinted>2010-06-15T16:01:00Z</cp:lastPrinted>
  <dcterms:created xsi:type="dcterms:W3CDTF">2014-03-04T10:45:00Z</dcterms:created>
  <dcterms:modified xsi:type="dcterms:W3CDTF">2020-02-11T13:13:00Z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
  </property>
  <property fmtid="{D5CDD505-2E9C-101B-9397-08002B2CF9AE}" pid="3" name="_NewReviewCycle">
    <vt:lpwstr/>
  </property>
</Properties>
</file>